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44DEF472" w:rsidR="00D437BD" w:rsidRPr="00DE1D77" w:rsidRDefault="00966624" w:rsidP="00DE1D77">
      <w:pPr>
        <w:autoSpaceDE w:val="0"/>
        <w:autoSpaceDN w:val="0"/>
        <w:adjustRightInd w:val="0"/>
        <w:ind w:firstLine="0"/>
        <w:rPr>
          <w:rFonts w:ascii="Optima-Bold" w:hAnsi="Optima-Bold" w:cs="Optima-Bold"/>
          <w:b/>
          <w:bCs/>
          <w:sz w:val="22"/>
        </w:rPr>
      </w:pPr>
      <w:r w:rsidRPr="00DE1D77">
        <w:rPr>
          <w:sz w:val="22"/>
        </w:rPr>
        <w:t xml:space="preserve">We review here </w:t>
      </w:r>
      <w:r w:rsidR="003E4587" w:rsidRPr="00DE1D77">
        <w:rPr>
          <w:sz w:val="22"/>
        </w:rPr>
        <w:t xml:space="preserve">a published article in </w:t>
      </w:r>
      <w:proofErr w:type="spellStart"/>
      <w:r w:rsidR="00611DB1" w:rsidRPr="00611DB1">
        <w:rPr>
          <w:b/>
        </w:rPr>
        <w:t>Restek</w:t>
      </w:r>
      <w:proofErr w:type="spellEnd"/>
      <w:r w:rsidR="00611DB1" w:rsidRPr="00611DB1">
        <w:rPr>
          <w:b/>
        </w:rPr>
        <w:t xml:space="preserve"> Corporation 110 Benner Circle, Bellefonte PA</w:t>
      </w:r>
      <w:r w:rsidR="00611DB1">
        <w:t xml:space="preserve"> </w:t>
      </w:r>
      <w:r w:rsidR="00611DB1" w:rsidRPr="00611DB1">
        <w:rPr>
          <w:b/>
        </w:rPr>
        <w:t>16823</w:t>
      </w:r>
      <w:r w:rsidR="00DE1D77" w:rsidRPr="00DE1D77">
        <w:rPr>
          <w:b/>
          <w:i/>
          <w:sz w:val="22"/>
        </w:rPr>
        <w:t xml:space="preserve">, </w:t>
      </w:r>
      <w:r w:rsidR="003E4587" w:rsidRPr="00DE1D77">
        <w:rPr>
          <w:sz w:val="22"/>
        </w:rPr>
        <w:t xml:space="preserve">entitled </w:t>
      </w:r>
      <w:r w:rsidR="00611DB1" w:rsidRPr="00611DB1">
        <w:rPr>
          <w:b/>
        </w:rPr>
        <w:t xml:space="preserve">Sub-2 </w:t>
      </w:r>
      <w:proofErr w:type="spellStart"/>
      <w:r w:rsidR="00611DB1" w:rsidRPr="00611DB1">
        <w:rPr>
          <w:b/>
        </w:rPr>
        <w:t>μm</w:t>
      </w:r>
      <w:proofErr w:type="spellEnd"/>
      <w:r w:rsidR="00611DB1" w:rsidRPr="00611DB1">
        <w:rPr>
          <w:b/>
        </w:rPr>
        <w:t xml:space="preserve"> Particles and Beyond: Effect of Particle Size on Efficiency, Back Pressure, and Analysis Time for HPLC and UHPLC</w:t>
      </w:r>
      <w:r w:rsidR="003B7F13" w:rsidRPr="00DE1D77">
        <w:rPr>
          <w:sz w:val="22"/>
        </w:rPr>
        <w:t xml:space="preserve">, </w:t>
      </w:r>
      <w:r w:rsidR="003B7F13" w:rsidRPr="001D0B5F">
        <w:rPr>
          <w:i/>
          <w:sz w:val="22"/>
        </w:rPr>
        <w:t>by</w:t>
      </w:r>
      <w:r w:rsidR="00DE1D77" w:rsidRPr="00DE1D77">
        <w:rPr>
          <w:b/>
          <w:sz w:val="22"/>
        </w:rPr>
        <w:t xml:space="preserve"> </w:t>
      </w:r>
      <w:proofErr w:type="spellStart"/>
      <w:r w:rsidR="00611DB1">
        <w:rPr>
          <w:b/>
          <w:sz w:val="22"/>
        </w:rPr>
        <w:t>Romesberg</w:t>
      </w:r>
      <w:proofErr w:type="spellEnd"/>
      <w:r w:rsidR="003E4587" w:rsidRPr="00DE1D77">
        <w:rPr>
          <w:b/>
          <w:sz w:val="22"/>
        </w:rPr>
        <w:t xml:space="preserve"> et al</w:t>
      </w:r>
      <w:r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Pr="00DE1D77" w:rsidRDefault="00EF4C61" w:rsidP="00EF4C61">
      <w:pPr>
        <w:jc w:val="center"/>
        <w:rPr>
          <w:b/>
          <w:szCs w:val="24"/>
        </w:rPr>
      </w:pPr>
      <w:r w:rsidRPr="00DE1D77">
        <w:rPr>
          <w:b/>
          <w:szCs w:val="24"/>
        </w:rPr>
        <w:t>Paper Abstract</w:t>
      </w:r>
    </w:p>
    <w:p w14:paraId="3FCB997A" w14:textId="5897BE37" w:rsidR="003044B6" w:rsidRPr="000A0635" w:rsidRDefault="000A0635" w:rsidP="00D437BD">
      <w:pPr>
        <w:ind w:firstLine="0"/>
        <w:rPr>
          <w:sz w:val="22"/>
        </w:rPr>
      </w:pPr>
      <w:r w:rsidRPr="000A0635">
        <w:rPr>
          <w:sz w:val="22"/>
        </w:rPr>
        <w:t>Recently considerable attention has been paid to improving chromatographic efficiency by using smaller particle size silica for liquid chromatography. While decreasing particle size does increase efficiency (N) and provide faster analysis times, it does so at the cost of increased column back pressure. As a result, the speed of the analysis and total number of theoretical plates that can be achieved by reducing particle size is limited by the column back pressure. This presentation will demonstrate the chromatographic impact of mean particle size on theoretical plates, analysis time, flow rates, and column back pressure. Several different columns will be discussed which have mean particle size diameters ranging from 1.9 to 5 microns. The limits of using smaller particles, and/or longer columns, to achieve greater efficiencies will be explored and discussed in terms of back pressure and the number of theoretical plates as a function of time. The trends shown will help in determining the optimum column configuration, given the practical limitations of the current HPLC and UHPLC instrumentation.</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0BBBE718" w14:textId="6E2A69B6" w:rsidR="00AB6EF7" w:rsidRPr="001E14D2" w:rsidRDefault="00AB6EF7" w:rsidP="001E14D2">
      <w:pPr>
        <w:ind w:firstLine="0"/>
        <w:rPr>
          <w:sz w:val="22"/>
        </w:rPr>
      </w:pPr>
      <w:r w:rsidRPr="001E14D2">
        <w:rPr>
          <w:sz w:val="22"/>
        </w:rPr>
        <w:t xml:space="preserve">In our Fig. </w:t>
      </w:r>
      <w:r w:rsidR="00966624" w:rsidRPr="001E14D2">
        <w:rPr>
          <w:sz w:val="22"/>
        </w:rPr>
        <w:t>A</w:t>
      </w:r>
      <w:r w:rsidRPr="001E14D2">
        <w:rPr>
          <w:sz w:val="22"/>
        </w:rPr>
        <w:t xml:space="preserve"> herein, </w:t>
      </w:r>
      <w:r w:rsidR="000A0635">
        <w:rPr>
          <w:sz w:val="22"/>
        </w:rPr>
        <w:t>we show an elaboration of Fig. 2</w:t>
      </w:r>
      <w:r w:rsidR="001E14D2">
        <w:rPr>
          <w:sz w:val="22"/>
        </w:rPr>
        <w:t xml:space="preserve"> </w:t>
      </w:r>
      <w:r w:rsidRPr="001E14D2">
        <w:rPr>
          <w:sz w:val="22"/>
        </w:rPr>
        <w:t xml:space="preserve">in the paper for the experimental data reported </w:t>
      </w:r>
      <w:r w:rsidR="001E14D2">
        <w:rPr>
          <w:sz w:val="22"/>
        </w:rPr>
        <w:t xml:space="preserve">for the four columns under study. As can be seen in the plot, we have captured the reported data correctly for </w:t>
      </w:r>
      <w:r w:rsidR="001E14D2" w:rsidRPr="005A7655">
        <w:rPr>
          <w:sz w:val="22"/>
          <w:u w:val="single"/>
        </w:rPr>
        <w:t>measured pressure drop</w:t>
      </w:r>
      <w:r w:rsidR="000A0635">
        <w:rPr>
          <w:sz w:val="22"/>
        </w:rPr>
        <w:t xml:space="preserve"> </w:t>
      </w:r>
      <w:r w:rsidR="001E14D2">
        <w:rPr>
          <w:sz w:val="22"/>
        </w:rPr>
        <w:t xml:space="preserve">and </w:t>
      </w:r>
      <w:r w:rsidR="001E14D2" w:rsidRPr="005A7655">
        <w:rPr>
          <w:sz w:val="22"/>
          <w:u w:val="single"/>
        </w:rPr>
        <w:t>mobile phase velocity</w:t>
      </w:r>
      <w:r w:rsidR="001E14D2">
        <w:rPr>
          <w:sz w:val="22"/>
        </w:rPr>
        <w:t xml:space="preserve">. Note again that the authors chose to report the </w:t>
      </w:r>
      <w:r w:rsidR="001E14D2" w:rsidRPr="005A7655">
        <w:rPr>
          <w:sz w:val="22"/>
          <w:u w:val="single"/>
        </w:rPr>
        <w:t>mobile phase velocity</w:t>
      </w:r>
      <w:r w:rsidR="001E14D2">
        <w:rPr>
          <w:sz w:val="22"/>
        </w:rPr>
        <w:t xml:space="preserve"> rather than the </w:t>
      </w:r>
      <w:r w:rsidR="001E14D2" w:rsidRPr="005A7655">
        <w:rPr>
          <w:sz w:val="22"/>
          <w:u w:val="single"/>
        </w:rPr>
        <w:t>superficial velocity</w:t>
      </w:r>
      <w:r w:rsidR="001E14D2">
        <w:rPr>
          <w:sz w:val="22"/>
        </w:rPr>
        <w:t xml:space="preserve">. This is very typical for chromatographic authors since their measurements yield values for </w:t>
      </w:r>
      <w:r w:rsidR="001E14D2" w:rsidRPr="001E14D2">
        <w:rPr>
          <w:sz w:val="22"/>
          <w:u w:val="single"/>
        </w:rPr>
        <w:t xml:space="preserve">total </w:t>
      </w:r>
      <w:r w:rsidR="001E14D2">
        <w:rPr>
          <w:sz w:val="22"/>
        </w:rPr>
        <w:t xml:space="preserve">column porosity rather than </w:t>
      </w:r>
      <w:r w:rsidR="001E14D2" w:rsidRPr="001E14D2">
        <w:rPr>
          <w:sz w:val="22"/>
          <w:u w:val="single"/>
        </w:rPr>
        <w:t>external</w:t>
      </w:r>
      <w:r w:rsidR="001E14D2">
        <w:rPr>
          <w:sz w:val="22"/>
        </w:rPr>
        <w:t xml:space="preserve"> column porosity. The QFFM has the built in ability to correct for the </w:t>
      </w:r>
      <w:r w:rsidR="001E14D2" w:rsidRPr="005A7655">
        <w:rPr>
          <w:sz w:val="22"/>
          <w:u w:val="single"/>
        </w:rPr>
        <w:t>internal pore volume of porous particles</w:t>
      </w:r>
      <w:r w:rsidR="001E14D2">
        <w:rPr>
          <w:sz w:val="22"/>
        </w:rPr>
        <w:t xml:space="preserve"> when calculating the column permeability characteristics from measurements of </w:t>
      </w:r>
      <w:r w:rsidR="001E14D2" w:rsidRPr="005A7655">
        <w:rPr>
          <w:sz w:val="22"/>
          <w:u w:val="single"/>
        </w:rPr>
        <w:t>total</w:t>
      </w:r>
      <w:r w:rsidR="001E14D2">
        <w:rPr>
          <w:sz w:val="22"/>
        </w:rPr>
        <w:t xml:space="preserve"> column porosity.</w:t>
      </w:r>
    </w:p>
    <w:p w14:paraId="429D3AF1" w14:textId="77777777" w:rsidR="00B40C70" w:rsidRPr="001E14D2" w:rsidRDefault="00B40C70" w:rsidP="00B40C70">
      <w:pPr>
        <w:ind w:firstLine="0"/>
        <w:rPr>
          <w:sz w:val="22"/>
        </w:rPr>
      </w:pPr>
    </w:p>
    <w:p w14:paraId="791073B8" w14:textId="77777777" w:rsidR="00AB6EF7" w:rsidRPr="001E14D2" w:rsidRDefault="00AB6EF7" w:rsidP="00E42D64">
      <w:pPr>
        <w:ind w:firstLine="0"/>
        <w:rPr>
          <w:sz w:val="22"/>
        </w:rPr>
      </w:pPr>
    </w:p>
    <w:p w14:paraId="0734528F" w14:textId="77777777" w:rsidR="00966624" w:rsidRPr="001E14D2" w:rsidRDefault="00966624">
      <w:pPr>
        <w:rPr>
          <w:sz w:val="22"/>
        </w:rPr>
      </w:pPr>
    </w:p>
    <w:p w14:paraId="7D4FDD09" w14:textId="77777777" w:rsidR="00966624" w:rsidRPr="001E14D2" w:rsidRDefault="00966624">
      <w:pPr>
        <w:rPr>
          <w:sz w:val="22"/>
        </w:rPr>
      </w:pPr>
    </w:p>
    <w:p w14:paraId="7BDF9F19" w14:textId="77777777" w:rsidR="0001294D" w:rsidRPr="001E14D2" w:rsidRDefault="0001294D">
      <w:pPr>
        <w:rPr>
          <w:sz w:val="22"/>
        </w:rPr>
      </w:pPr>
    </w:p>
    <w:p w14:paraId="4CE77399" w14:textId="77777777" w:rsidR="0001294D" w:rsidRPr="001E14D2" w:rsidRDefault="0001294D">
      <w:pPr>
        <w:rPr>
          <w:sz w:val="22"/>
        </w:rPr>
      </w:pPr>
    </w:p>
    <w:p w14:paraId="47DD695C" w14:textId="77777777" w:rsidR="003368A3" w:rsidRDefault="003368A3" w:rsidP="004F5BF8">
      <w:pPr>
        <w:ind w:firstLine="0"/>
        <w:rPr>
          <w:sz w:val="20"/>
          <w:szCs w:val="20"/>
        </w:rPr>
      </w:pPr>
    </w:p>
    <w:p w14:paraId="141FD60D" w14:textId="77777777" w:rsidR="003368A3" w:rsidRDefault="003368A3" w:rsidP="004F5BF8">
      <w:pPr>
        <w:ind w:firstLine="0"/>
        <w:rPr>
          <w:sz w:val="20"/>
          <w:szCs w:val="20"/>
        </w:rPr>
      </w:pPr>
    </w:p>
    <w:p w14:paraId="24636C38" w14:textId="77777777" w:rsidR="003368A3" w:rsidRDefault="003368A3" w:rsidP="004F5BF8">
      <w:pPr>
        <w:ind w:firstLine="0"/>
        <w:rPr>
          <w:sz w:val="20"/>
          <w:szCs w:val="20"/>
        </w:rPr>
      </w:pPr>
    </w:p>
    <w:p w14:paraId="153B5C5D" w14:textId="77777777" w:rsidR="003368A3" w:rsidRDefault="003368A3" w:rsidP="004F5BF8">
      <w:pPr>
        <w:ind w:firstLine="0"/>
        <w:rPr>
          <w:sz w:val="20"/>
          <w:szCs w:val="20"/>
        </w:rPr>
      </w:pPr>
    </w:p>
    <w:p w14:paraId="21532238" w14:textId="77777777" w:rsidR="003368A3" w:rsidRDefault="003368A3" w:rsidP="004F5BF8">
      <w:pPr>
        <w:ind w:firstLine="0"/>
        <w:rPr>
          <w:sz w:val="20"/>
          <w:szCs w:val="20"/>
        </w:rPr>
      </w:pPr>
    </w:p>
    <w:p w14:paraId="0D548E4C" w14:textId="77777777" w:rsidR="003368A3" w:rsidRDefault="003368A3" w:rsidP="004F5BF8">
      <w:pPr>
        <w:ind w:firstLine="0"/>
        <w:rPr>
          <w:sz w:val="20"/>
          <w:szCs w:val="20"/>
        </w:rPr>
      </w:pPr>
    </w:p>
    <w:p w14:paraId="7FE3A5D0" w14:textId="77777777" w:rsidR="003368A3" w:rsidRDefault="003368A3" w:rsidP="004F5BF8">
      <w:pPr>
        <w:ind w:firstLine="0"/>
        <w:rPr>
          <w:sz w:val="20"/>
          <w:szCs w:val="20"/>
        </w:rPr>
      </w:pPr>
    </w:p>
    <w:p w14:paraId="5B5D2335" w14:textId="77777777" w:rsidR="003368A3" w:rsidRDefault="003368A3" w:rsidP="004F5BF8">
      <w:pPr>
        <w:ind w:firstLine="0"/>
        <w:rPr>
          <w:sz w:val="20"/>
          <w:szCs w:val="20"/>
        </w:rPr>
      </w:pPr>
    </w:p>
    <w:p w14:paraId="1F1C91D5" w14:textId="77777777" w:rsidR="003368A3" w:rsidRDefault="003368A3" w:rsidP="004F5BF8">
      <w:pPr>
        <w:ind w:firstLine="0"/>
        <w:rPr>
          <w:sz w:val="20"/>
          <w:szCs w:val="20"/>
        </w:rPr>
      </w:pPr>
    </w:p>
    <w:p w14:paraId="54579F96" w14:textId="77777777" w:rsidR="00584D65" w:rsidRDefault="00584D65" w:rsidP="004F5BF8">
      <w:pPr>
        <w:ind w:firstLine="0"/>
        <w:rPr>
          <w:sz w:val="20"/>
          <w:szCs w:val="20"/>
        </w:rPr>
      </w:pPr>
    </w:p>
    <w:p w14:paraId="0CCCDD07" w14:textId="77777777" w:rsidR="003368A3" w:rsidRDefault="003368A3" w:rsidP="004F5BF8">
      <w:pPr>
        <w:ind w:firstLine="0"/>
        <w:rPr>
          <w:sz w:val="20"/>
          <w:szCs w:val="20"/>
        </w:rPr>
      </w:pPr>
    </w:p>
    <w:p w14:paraId="6A7FD12C" w14:textId="02F062FB" w:rsidR="00B308B8" w:rsidRPr="003368A3" w:rsidRDefault="00CD3C04" w:rsidP="00B308B8">
      <w:pPr>
        <w:rPr>
          <w:b/>
          <w:szCs w:val="24"/>
        </w:rPr>
      </w:pPr>
      <w:r>
        <w:rPr>
          <w:b/>
          <w:szCs w:val="24"/>
        </w:rPr>
        <w:t>Fig. A</w:t>
      </w:r>
      <w:r w:rsidR="00B308B8" w:rsidRPr="003368A3">
        <w:rPr>
          <w:b/>
          <w:szCs w:val="24"/>
        </w:rPr>
        <w:t xml:space="preserve"> </w:t>
      </w:r>
    </w:p>
    <w:p w14:paraId="4488772D" w14:textId="4D187C32" w:rsidR="001B7DE8" w:rsidRPr="00933A92" w:rsidRDefault="000A0635" w:rsidP="00B308B8">
      <w:pPr>
        <w:rPr>
          <w:sz w:val="20"/>
          <w:szCs w:val="20"/>
        </w:rPr>
      </w:pPr>
      <w:r>
        <w:rPr>
          <w:noProof/>
        </w:rPr>
        <w:drawing>
          <wp:inline distT="0" distB="0" distL="0" distR="0" wp14:anchorId="3F6164FA" wp14:editId="166BAA5B">
            <wp:extent cx="5514975" cy="53244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50CC4B" w14:textId="49E4A78A" w:rsidR="00B308B8" w:rsidRDefault="00B308B8">
      <w:pPr>
        <w:rPr>
          <w:noProof/>
        </w:rPr>
      </w:pPr>
    </w:p>
    <w:p w14:paraId="2BD098D0" w14:textId="77777777" w:rsidR="000A0635" w:rsidRPr="009D199E" w:rsidRDefault="000A0635" w:rsidP="000A0635">
      <w:pPr>
        <w:rPr>
          <w:sz w:val="22"/>
        </w:rPr>
      </w:pPr>
      <w:r w:rsidRPr="009D199E">
        <w:rPr>
          <w:sz w:val="22"/>
        </w:rPr>
        <w:t>In Fig. B herein, we have provided our validation of the papers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Pr="009D199E">
        <w:rPr>
          <w:sz w:val="22"/>
        </w:rPr>
        <w:t xml:space="preserve">. However,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w:t>
      </w:r>
      <w:proofErr w:type="gramStart"/>
      <w:r w:rsidRPr="009D199E">
        <w:rPr>
          <w:sz w:val="22"/>
        </w:rPr>
        <w:t>Q</w:t>
      </w:r>
      <w:r w:rsidRPr="009D199E">
        <w:rPr>
          <w:sz w:val="22"/>
          <w:vertAlign w:val="subscript"/>
        </w:rPr>
        <w:t>C ,</w:t>
      </w:r>
      <w:proofErr w:type="gramEnd"/>
      <w:r w:rsidRPr="009D199E">
        <w:rPr>
          <w:sz w:val="22"/>
          <w:vertAlign w:val="subscript"/>
        </w:rPr>
        <w:t xml:space="preserve"> </w:t>
      </w:r>
      <w:r w:rsidRPr="009D199E">
        <w:rPr>
          <w:sz w:val="22"/>
        </w:rPr>
        <w:t>lines up perfectly with Quinn’s Law</w:t>
      </w:r>
    </w:p>
    <w:p w14:paraId="52D7F68E" w14:textId="77777777" w:rsidR="008E5AB7" w:rsidRDefault="008E5AB7">
      <w:pPr>
        <w:rPr>
          <w:noProof/>
        </w:rPr>
      </w:pPr>
    </w:p>
    <w:p w14:paraId="5CD819D6" w14:textId="77777777" w:rsidR="00F536B3" w:rsidRDefault="00F536B3">
      <w:pPr>
        <w:rPr>
          <w:b/>
          <w:szCs w:val="24"/>
        </w:rPr>
      </w:pPr>
    </w:p>
    <w:p w14:paraId="2639FCCE" w14:textId="77777777" w:rsidR="00F536B3" w:rsidRDefault="00F536B3" w:rsidP="000A0635">
      <w:pPr>
        <w:ind w:firstLine="0"/>
        <w:rPr>
          <w:noProof/>
        </w:rPr>
      </w:pPr>
    </w:p>
    <w:p w14:paraId="0AE88BEB" w14:textId="77777777" w:rsidR="008E5AB7" w:rsidRPr="008E5AB7" w:rsidRDefault="008E5AB7" w:rsidP="008E5AB7">
      <w:pPr>
        <w:rPr>
          <w:b/>
          <w:szCs w:val="24"/>
        </w:rPr>
      </w:pPr>
      <w:r w:rsidRPr="008E5AB7">
        <w:rPr>
          <w:b/>
          <w:szCs w:val="24"/>
        </w:rPr>
        <w:lastRenderedPageBreak/>
        <w:t>Fig. B</w:t>
      </w:r>
    </w:p>
    <w:p w14:paraId="19A42249" w14:textId="524F6133" w:rsidR="00F536B3" w:rsidRDefault="000A0635">
      <w:pPr>
        <w:rPr>
          <w:noProof/>
        </w:rPr>
      </w:pPr>
      <w:r>
        <w:rPr>
          <w:noProof/>
        </w:rPr>
        <w:drawing>
          <wp:inline distT="0" distB="0" distL="0" distR="0" wp14:anchorId="4A50D54B" wp14:editId="27C32E1D">
            <wp:extent cx="5943600" cy="470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06620"/>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4689CEAE" w14:textId="77777777" w:rsidR="00A42F85" w:rsidRPr="001E1E04" w:rsidRDefault="00A42F85" w:rsidP="005C5A4B">
      <w:pPr>
        <w:ind w:firstLine="0"/>
        <w:rPr>
          <w:sz w:val="22"/>
        </w:rPr>
      </w:pPr>
    </w:p>
    <w:p w14:paraId="04158FA5" w14:textId="77777777" w:rsidR="005C05D4" w:rsidRPr="001E1E04" w:rsidRDefault="003D0C73" w:rsidP="003D0C73">
      <w:pPr>
        <w:ind w:firstLine="0"/>
        <w:rPr>
          <w:b/>
          <w:szCs w:val="24"/>
        </w:rPr>
      </w:pPr>
      <w:r w:rsidRPr="001E1E04">
        <w:rPr>
          <w:sz w:val="22"/>
        </w:rPr>
        <w:t xml:space="preserve">                                                                           </w:t>
      </w:r>
      <w:r w:rsidR="00641B67" w:rsidRPr="001E1E04">
        <w:rPr>
          <w:b/>
          <w:szCs w:val="24"/>
        </w:rPr>
        <w:t>Conclusion.</w:t>
      </w:r>
    </w:p>
    <w:p w14:paraId="4A346477" w14:textId="5AF60129" w:rsidR="005C05D4" w:rsidRPr="001E1E04" w:rsidRDefault="00B1373A" w:rsidP="001E1E04">
      <w:pPr>
        <w:ind w:firstLine="0"/>
        <w:rPr>
          <w:i/>
          <w:sz w:val="22"/>
        </w:rPr>
      </w:pPr>
      <w:r w:rsidRPr="001E1E04">
        <w:rPr>
          <w:sz w:val="22"/>
        </w:rPr>
        <w:t>We conclude that the results in this paper</w:t>
      </w:r>
      <w:r w:rsidR="001E1E04" w:rsidRPr="001E1E04">
        <w:rPr>
          <w:sz w:val="22"/>
        </w:rPr>
        <w:t xml:space="preserve"> </w:t>
      </w:r>
      <w:r w:rsidR="001E1E04" w:rsidRPr="007A401B">
        <w:rPr>
          <w:sz w:val="22"/>
          <w:u w:val="single"/>
        </w:rPr>
        <w:t>independently</w:t>
      </w:r>
      <w:r w:rsidR="001E1E04" w:rsidRPr="001E1E04">
        <w:rPr>
          <w:sz w:val="22"/>
        </w:rPr>
        <w:t xml:space="preserve"> validate Quinn’s Law in as much as all the relevant underlying parameters pertaining to the packed conduit were measured </w:t>
      </w:r>
      <w:r w:rsidR="001E1E04" w:rsidRPr="007A401B">
        <w:rPr>
          <w:sz w:val="22"/>
          <w:u w:val="single"/>
        </w:rPr>
        <w:t>independently.</w:t>
      </w:r>
      <w:r w:rsidR="00727ED4" w:rsidRPr="001E1E04">
        <w:rPr>
          <w:sz w:val="22"/>
        </w:rPr>
        <w:t xml:space="preserve"> </w:t>
      </w:r>
    </w:p>
    <w:p w14:paraId="78AF80FA" w14:textId="77777777" w:rsidR="00727ED4" w:rsidRPr="001E1E04" w:rsidRDefault="00727ED4" w:rsidP="00BE1E85">
      <w:pPr>
        <w:ind w:firstLine="0"/>
        <w:rPr>
          <w:sz w:val="22"/>
        </w:rPr>
      </w:pPr>
    </w:p>
    <w:p w14:paraId="7FF3E902" w14:textId="19FDEE39" w:rsidR="00727ED4" w:rsidRPr="001E1E04" w:rsidRDefault="00727ED4" w:rsidP="00727ED4">
      <w:pPr>
        <w:ind w:firstLine="0"/>
        <w:rPr>
          <w:sz w:val="22"/>
        </w:rPr>
      </w:pPr>
      <w:r w:rsidRPr="001E1E04">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1E1E04">
        <w:rPr>
          <w:sz w:val="22"/>
        </w:rPr>
        <w:t>the</w:t>
      </w:r>
      <w:r w:rsidRPr="001E1E04">
        <w:rPr>
          <w:sz w:val="22"/>
        </w:rPr>
        <w:t xml:space="preserve"> QFFM prescribes need to be </w:t>
      </w:r>
      <w:r w:rsidR="004E0F26" w:rsidRPr="001E1E04">
        <w:rPr>
          <w:sz w:val="22"/>
        </w:rPr>
        <w:t>corrected, is</w:t>
      </w:r>
      <w:r w:rsidRPr="001E1E04">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75B22" w14:textId="77777777" w:rsidR="00BB6553" w:rsidRDefault="00BB6553" w:rsidP="00C451C1">
      <w:r>
        <w:separator/>
      </w:r>
    </w:p>
  </w:endnote>
  <w:endnote w:type="continuationSeparator" w:id="0">
    <w:p w14:paraId="3324BC54" w14:textId="77777777" w:rsidR="00BB6553" w:rsidRDefault="00BB6553" w:rsidP="00C451C1">
      <w:r>
        <w:continuationSeparator/>
      </w:r>
    </w:p>
  </w:endnote>
  <w:endnote w:type="continuationNotice" w:id="1">
    <w:p w14:paraId="456D974A" w14:textId="77777777" w:rsidR="00BB6553" w:rsidRDefault="00BB6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9371D96" w:rsidR="00405986" w:rsidRDefault="00EF4C61" w:rsidP="001F348A">
    <w:pPr>
      <w:pStyle w:val="Footer"/>
      <w:tabs>
        <w:tab w:val="clear" w:pos="4680"/>
        <w:tab w:val="left" w:pos="0"/>
      </w:tabs>
    </w:pPr>
    <w:r>
      <w:t>5</w:t>
    </w:r>
    <w:r w:rsidR="00756776">
      <w:t>/</w:t>
    </w:r>
    <w:r w:rsidR="00C35F21">
      <w:t>17</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0B3421">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0B3421">
      <w:rPr>
        <w:b/>
        <w:noProof/>
      </w:rPr>
      <w:t>4</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10AA4" w14:textId="77777777" w:rsidR="00BB6553" w:rsidRDefault="00BB6553" w:rsidP="00C451C1">
      <w:r>
        <w:separator/>
      </w:r>
    </w:p>
  </w:footnote>
  <w:footnote w:type="continuationSeparator" w:id="0">
    <w:p w14:paraId="716FA9D9" w14:textId="77777777" w:rsidR="00BB6553" w:rsidRDefault="00BB6553" w:rsidP="00C451C1">
      <w:r>
        <w:continuationSeparator/>
      </w:r>
    </w:p>
  </w:footnote>
  <w:footnote w:type="continuationNotice" w:id="1">
    <w:p w14:paraId="4FFA98BA" w14:textId="77777777" w:rsidR="00BB6553" w:rsidRDefault="00BB65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0635"/>
    <w:rsid w:val="000A1852"/>
    <w:rsid w:val="000A2A48"/>
    <w:rsid w:val="000A3B2F"/>
    <w:rsid w:val="000A46A5"/>
    <w:rsid w:val="000B270C"/>
    <w:rsid w:val="000B3421"/>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1DB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2AFC"/>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7B78"/>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B6553"/>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3C04"/>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E1D7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028F"/>
    <w:rsid w:val="00F640DE"/>
    <w:rsid w:val="00F640FA"/>
    <w:rsid w:val="00F74CD3"/>
    <w:rsid w:val="00F816BF"/>
    <w:rsid w:val="00F90271"/>
    <w:rsid w:val="00F906F6"/>
    <w:rsid w:val="00F90F48"/>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2 Pressure Drop v Mobile Phase Velocity</a:t>
            </a:r>
          </a:p>
        </c:rich>
      </c:tx>
      <c:overlay val="0"/>
    </c:title>
    <c:autoTitleDeleted val="0"/>
    <c:plotArea>
      <c:layout>
        <c:manualLayout>
          <c:layoutTarget val="inner"/>
          <c:xMode val="edge"/>
          <c:yMode val="edge"/>
          <c:x val="0.14856443870014774"/>
          <c:y val="0.13276839111357069"/>
          <c:w val="0.81598756114034965"/>
          <c:h val="0.74449912902211013"/>
        </c:manualLayout>
      </c:layout>
      <c:scatterChart>
        <c:scatterStyle val="smoothMarker"/>
        <c:varyColors val="0"/>
        <c:ser>
          <c:idx val="0"/>
          <c:order val="0"/>
          <c:tx>
            <c:v>5 micron</c:v>
          </c:tx>
          <c:marker>
            <c:symbol val="none"/>
          </c:marker>
          <c:xVal>
            <c:numRef>
              <c:f>Romesberg!$DZ$7:$DZ$18</c:f>
              <c:numCache>
                <c:formatCode>0.000</c:formatCode>
                <c:ptCount val="12"/>
                <c:pt idx="0">
                  <c:v>2.486609158174673E-7</c:v>
                </c:pt>
                <c:pt idx="1">
                  <c:v>1.2433045790873365E-2</c:v>
                </c:pt>
                <c:pt idx="2">
                  <c:v>2.4866091581746731E-2</c:v>
                </c:pt>
                <c:pt idx="3">
                  <c:v>4.9732183163493461E-2</c:v>
                </c:pt>
                <c:pt idx="4">
                  <c:v>7.4598274745240195E-2</c:v>
                </c:pt>
                <c:pt idx="5">
                  <c:v>9.9464366326986922E-2</c:v>
                </c:pt>
                <c:pt idx="6">
                  <c:v>0.12433045790873364</c:v>
                </c:pt>
                <c:pt idx="7">
                  <c:v>0.14919654949048039</c:v>
                </c:pt>
                <c:pt idx="8">
                  <c:v>0.1740626410722271</c:v>
                </c:pt>
                <c:pt idx="9">
                  <c:v>0.19892873265397384</c:v>
                </c:pt>
                <c:pt idx="10">
                  <c:v>0.22379482423572053</c:v>
                </c:pt>
                <c:pt idx="11">
                  <c:v>0.38000000000000006</c:v>
                </c:pt>
              </c:numCache>
            </c:numRef>
          </c:xVal>
          <c:yVal>
            <c:numRef>
              <c:f>Romesberg!$BG$7:$BG$18</c:f>
              <c:numCache>
                <c:formatCode>#,##0</c:formatCode>
                <c:ptCount val="12"/>
                <c:pt idx="0">
                  <c:v>1.1775235236164811E-3</c:v>
                </c:pt>
                <c:pt idx="1">
                  <c:v>58.876738881312988</c:v>
                </c:pt>
                <c:pt idx="2">
                  <c:v>117.75460318611226</c:v>
                </c:pt>
                <c:pt idx="3">
                  <c:v>235.51370806616981</c:v>
                </c:pt>
                <c:pt idx="4">
                  <c:v>353.27731464017251</c:v>
                </c:pt>
                <c:pt idx="5">
                  <c:v>471.04542290812049</c:v>
                </c:pt>
                <c:pt idx="6">
                  <c:v>588.81803287001367</c:v>
                </c:pt>
                <c:pt idx="7">
                  <c:v>706.59514452585211</c:v>
                </c:pt>
                <c:pt idx="8">
                  <c:v>824.37675787563569</c:v>
                </c:pt>
                <c:pt idx="9">
                  <c:v>942.16287291936464</c:v>
                </c:pt>
                <c:pt idx="10">
                  <c:v>1059.9534896570387</c:v>
                </c:pt>
                <c:pt idx="11">
                  <c:v>1799.9999978286685</c:v>
                </c:pt>
              </c:numCache>
            </c:numRef>
          </c:yVal>
          <c:smooth val="1"/>
        </c:ser>
        <c:ser>
          <c:idx val="1"/>
          <c:order val="1"/>
          <c:tx>
            <c:v>1.9 micron</c:v>
          </c:tx>
          <c:marker>
            <c:symbol val="none"/>
          </c:marker>
          <c:xVal>
            <c:numRef>
              <c:f>Romesberg!$DZ$49:$DZ$61</c:f>
              <c:numCache>
                <c:formatCode>0.000</c:formatCode>
                <c:ptCount val="13"/>
                <c:pt idx="0">
                  <c:v>2.5344590945376843E-7</c:v>
                </c:pt>
                <c:pt idx="1">
                  <c:v>1.2672295472688421E-2</c:v>
                </c:pt>
                <c:pt idx="2">
                  <c:v>2.5344590945376843E-2</c:v>
                </c:pt>
                <c:pt idx="3">
                  <c:v>5.0689181890753686E-2</c:v>
                </c:pt>
                <c:pt idx="4">
                  <c:v>7.6033772836130525E-2</c:v>
                </c:pt>
                <c:pt idx="5">
                  <c:v>0.10137836378150737</c:v>
                </c:pt>
                <c:pt idx="6">
                  <c:v>0.12672295472688419</c:v>
                </c:pt>
                <c:pt idx="7">
                  <c:v>0.15206754567226105</c:v>
                </c:pt>
                <c:pt idx="8">
                  <c:v>0.17741213661763788</c:v>
                </c:pt>
                <c:pt idx="9">
                  <c:v>0.20275672756301474</c:v>
                </c:pt>
                <c:pt idx="10">
                  <c:v>0.22810131850839155</c:v>
                </c:pt>
                <c:pt idx="11">
                  <c:v>0.25344590945376838</c:v>
                </c:pt>
                <c:pt idx="12">
                  <c:v>0.45999999999999963</c:v>
                </c:pt>
              </c:numCache>
            </c:numRef>
          </c:xVal>
          <c:yVal>
            <c:numRef>
              <c:f>Romesberg!$BG$49:$BG$61</c:f>
              <c:numCache>
                <c:formatCode>#,##0</c:formatCode>
                <c:ptCount val="13"/>
                <c:pt idx="0">
                  <c:v>4.3522619915648195E-3</c:v>
                </c:pt>
                <c:pt idx="1">
                  <c:v>217.61364501792889</c:v>
                </c:pt>
                <c:pt idx="2">
                  <c:v>435.22838093705172</c:v>
                </c:pt>
                <c:pt idx="3">
                  <c:v>870.46112547887913</c:v>
                </c:pt>
                <c:pt idx="4">
                  <c:v>1305.6982336254819</c:v>
                </c:pt>
                <c:pt idx="5">
                  <c:v>1740.9397053768607</c:v>
                </c:pt>
                <c:pt idx="6">
                  <c:v>2176.1855407330149</c:v>
                </c:pt>
                <c:pt idx="7">
                  <c:v>2611.4357396939449</c:v>
                </c:pt>
                <c:pt idx="8">
                  <c:v>3046.6903022596503</c:v>
                </c:pt>
                <c:pt idx="9">
                  <c:v>3481.9492284301318</c:v>
                </c:pt>
                <c:pt idx="10">
                  <c:v>3917.2125182053878</c:v>
                </c:pt>
                <c:pt idx="11">
                  <c:v>4352.4801715854201</c:v>
                </c:pt>
                <c:pt idx="12">
                  <c:v>7899.999953848569</c:v>
                </c:pt>
              </c:numCache>
            </c:numRef>
          </c:yVal>
          <c:smooth val="1"/>
        </c:ser>
        <c:ser>
          <c:idx val="2"/>
          <c:order val="2"/>
          <c:tx>
            <c:v>3 micron</c:v>
          </c:tx>
          <c:marker>
            <c:symbol val="none"/>
          </c:marker>
          <c:xVal>
            <c:numRef>
              <c:f>Romesberg!$DZ$21:$DZ$33</c:f>
              <c:numCache>
                <c:formatCode>0.000</c:formatCode>
                <c:ptCount val="13"/>
                <c:pt idx="0">
                  <c:v>2.5117264223986591E-7</c:v>
                </c:pt>
                <c:pt idx="1">
                  <c:v>1.2558632111993297E-2</c:v>
                </c:pt>
                <c:pt idx="2">
                  <c:v>2.5117264223986593E-2</c:v>
                </c:pt>
                <c:pt idx="3">
                  <c:v>5.0234528447973187E-2</c:v>
                </c:pt>
                <c:pt idx="4">
                  <c:v>7.535179267195978E-2</c:v>
                </c:pt>
                <c:pt idx="5">
                  <c:v>0.10046905689594637</c:v>
                </c:pt>
                <c:pt idx="6">
                  <c:v>0.12558632111993295</c:v>
                </c:pt>
                <c:pt idx="7">
                  <c:v>0.15070358534391956</c:v>
                </c:pt>
                <c:pt idx="8">
                  <c:v>0.17582084956790614</c:v>
                </c:pt>
                <c:pt idx="9">
                  <c:v>0.20093811379189275</c:v>
                </c:pt>
                <c:pt idx="10">
                  <c:v>0.2260553780158793</c:v>
                </c:pt>
                <c:pt idx="11">
                  <c:v>0.25117264223986591</c:v>
                </c:pt>
                <c:pt idx="12">
                  <c:v>0.45999999999999946</c:v>
                </c:pt>
              </c:numCache>
            </c:numRef>
          </c:xVal>
          <c:yVal>
            <c:numRef>
              <c:f>Romesberg!$BG$21:$BG$33</c:f>
              <c:numCache>
                <c:formatCode>#,##0</c:formatCode>
                <c:ptCount val="13"/>
                <c:pt idx="0">
                  <c:v>1.7470345514186752E-3</c:v>
                </c:pt>
                <c:pt idx="1">
                  <c:v>87.352073414174299</c:v>
                </c:pt>
                <c:pt idx="2">
                  <c:v>174.70483852866366</c:v>
                </c:pt>
                <c:pt idx="3">
                  <c:v>349.41244385858755</c:v>
                </c:pt>
                <c:pt idx="4">
                  <c:v>524.12281598977154</c:v>
                </c:pt>
                <c:pt idx="5">
                  <c:v>698.83595492221593</c:v>
                </c:pt>
                <c:pt idx="6">
                  <c:v>873.55186065592056</c:v>
                </c:pt>
                <c:pt idx="7">
                  <c:v>1048.2705331908851</c:v>
                </c:pt>
                <c:pt idx="8">
                  <c:v>1222.9919725271102</c:v>
                </c:pt>
                <c:pt idx="9">
                  <c:v>1397.7161786645954</c:v>
                </c:pt>
                <c:pt idx="10">
                  <c:v>1572.4431516033408</c:v>
                </c:pt>
                <c:pt idx="11">
                  <c:v>1747.1728913433465</c:v>
                </c:pt>
                <c:pt idx="12">
                  <c:v>3199.9999314866104</c:v>
                </c:pt>
              </c:numCache>
            </c:numRef>
          </c:yVal>
          <c:smooth val="1"/>
        </c:ser>
        <c:ser>
          <c:idx val="3"/>
          <c:order val="3"/>
          <c:tx>
            <c:v>2.2 micron</c:v>
          </c:tx>
          <c:marker>
            <c:symbol val="none"/>
          </c:marker>
          <c:xVal>
            <c:numRef>
              <c:f>Romesberg!$DZ$35:$DZ$47</c:f>
              <c:numCache>
                <c:formatCode>0.000</c:formatCode>
                <c:ptCount val="13"/>
                <c:pt idx="0">
                  <c:v>2.3019504529702241E-7</c:v>
                </c:pt>
                <c:pt idx="1">
                  <c:v>1.1509752264851122E-2</c:v>
                </c:pt>
                <c:pt idx="2">
                  <c:v>2.3019504529702244E-2</c:v>
                </c:pt>
                <c:pt idx="3">
                  <c:v>4.6039009059404487E-2</c:v>
                </c:pt>
                <c:pt idx="4">
                  <c:v>6.9058513589106724E-2</c:v>
                </c:pt>
                <c:pt idx="5">
                  <c:v>9.2078018118808974E-2</c:v>
                </c:pt>
                <c:pt idx="6">
                  <c:v>0.1150975226485112</c:v>
                </c:pt>
                <c:pt idx="7">
                  <c:v>0.13811702717821345</c:v>
                </c:pt>
                <c:pt idx="8">
                  <c:v>0.16113653170791567</c:v>
                </c:pt>
                <c:pt idx="9">
                  <c:v>0.18415603623761795</c:v>
                </c:pt>
                <c:pt idx="10">
                  <c:v>0.20717554076732014</c:v>
                </c:pt>
                <c:pt idx="11">
                  <c:v>0.23019504529702239</c:v>
                </c:pt>
                <c:pt idx="12">
                  <c:v>0.46039009059404479</c:v>
                </c:pt>
              </c:numCache>
            </c:numRef>
          </c:xVal>
          <c:yVal>
            <c:numRef>
              <c:f>Romesberg!$BG$35:$BG$47</c:f>
              <c:numCache>
                <c:formatCode>#,##0</c:formatCode>
                <c:ptCount val="13"/>
                <c:pt idx="0">
                  <c:v>2.7997000060519979E-3</c:v>
                </c:pt>
                <c:pt idx="1">
                  <c:v>139.98537506157072</c:v>
                </c:pt>
                <c:pt idx="2">
                  <c:v>279.97149965607372</c:v>
                </c:pt>
                <c:pt idx="3">
                  <c:v>559.94599744387631</c:v>
                </c:pt>
                <c:pt idx="4">
                  <c:v>839.92349336340806</c:v>
                </c:pt>
                <c:pt idx="5">
                  <c:v>1119.9039874146688</c:v>
                </c:pt>
                <c:pt idx="6">
                  <c:v>1399.8874795976585</c:v>
                </c:pt>
                <c:pt idx="7">
                  <c:v>1679.8739699123771</c:v>
                </c:pt>
                <c:pt idx="8">
                  <c:v>1959.863458358825</c:v>
                </c:pt>
                <c:pt idx="9">
                  <c:v>2239.8559449370014</c:v>
                </c:pt>
                <c:pt idx="10">
                  <c:v>2519.8514296469075</c:v>
                </c:pt>
                <c:pt idx="11">
                  <c:v>2799.8499124885416</c:v>
                </c:pt>
                <c:pt idx="12">
                  <c:v>5599.9996381499859</c:v>
                </c:pt>
              </c:numCache>
            </c:numRef>
          </c:yVal>
          <c:smooth val="1"/>
        </c:ser>
        <c:dLbls>
          <c:showLegendKey val="0"/>
          <c:showVal val="0"/>
          <c:showCatName val="0"/>
          <c:showSerName val="0"/>
          <c:showPercent val="0"/>
          <c:showBubbleSize val="0"/>
        </c:dLbls>
        <c:axId val="354867840"/>
        <c:axId val="188658048"/>
      </c:scatterChart>
      <c:valAx>
        <c:axId val="354867840"/>
        <c:scaling>
          <c:orientation val="minMax"/>
          <c:max val="0.5"/>
          <c:min val="0"/>
        </c:scaling>
        <c:delete val="0"/>
        <c:axPos val="b"/>
        <c:majorGridlines/>
        <c:title>
          <c:tx>
            <c:rich>
              <a:bodyPr/>
              <a:lstStyle/>
              <a:p>
                <a:pPr>
                  <a:defRPr/>
                </a:pPr>
                <a:r>
                  <a:rPr lang="en-US">
                    <a:latin typeface="Symbol" pitchFamily="18" charset="2"/>
                    <a:cs typeface="Times New Roman" pitchFamily="18" charset="0"/>
                  </a:rPr>
                  <a:t>m</a:t>
                </a:r>
                <a:r>
                  <a:rPr lang="en-US" baseline="-25000">
                    <a:latin typeface="Times New Roman" pitchFamily="18" charset="0"/>
                    <a:cs typeface="Times New Roman" pitchFamily="18" charset="0"/>
                  </a:rPr>
                  <a:t>t</a:t>
                </a:r>
                <a:r>
                  <a:rPr lang="en-US">
                    <a:latin typeface="Times New Roman" pitchFamily="18" charset="0"/>
                    <a:cs typeface="Times New Roman" pitchFamily="18" charset="0"/>
                  </a:rPr>
                  <a:t> </a:t>
                </a:r>
                <a:r>
                  <a:rPr lang="en-US"/>
                  <a:t>(cm/sec)</a:t>
                </a:r>
              </a:p>
            </c:rich>
          </c:tx>
          <c:overlay val="0"/>
        </c:title>
        <c:numFmt formatCode="#,##0.00" sourceLinked="0"/>
        <c:majorTickMark val="none"/>
        <c:minorTickMark val="none"/>
        <c:tickLblPos val="nextTo"/>
        <c:txPr>
          <a:bodyPr/>
          <a:lstStyle/>
          <a:p>
            <a:pPr>
              <a:defRPr sz="800" b="1"/>
            </a:pPr>
            <a:endParaRPr lang="en-US"/>
          </a:p>
        </c:txPr>
        <c:crossAx val="188658048"/>
        <c:crosses val="autoZero"/>
        <c:crossBetween val="midCat"/>
        <c:majorUnit val="5.000000000000001E-2"/>
      </c:valAx>
      <c:valAx>
        <c:axId val="188658048"/>
        <c:scaling>
          <c:orientation val="minMax"/>
          <c:max val="8000"/>
        </c:scaling>
        <c:delete val="0"/>
        <c:axPos val="l"/>
        <c:majorGridlines/>
        <c:title>
          <c:tx>
            <c:rich>
              <a:bodyPr rot="0" vert="horz"/>
              <a:lstStyle/>
              <a:p>
                <a:pPr>
                  <a:defRPr/>
                </a:pPr>
                <a:r>
                  <a:rPr lang="en-US">
                    <a:latin typeface="Symbol" pitchFamily="18" charset="2"/>
                  </a:rPr>
                  <a:t>D</a:t>
                </a:r>
                <a:r>
                  <a:rPr lang="en-US"/>
                  <a:t>P</a:t>
                </a:r>
              </a:p>
              <a:p>
                <a:pPr>
                  <a:defRPr/>
                </a:pPr>
                <a:r>
                  <a:rPr lang="en-US"/>
                  <a:t>(psi)</a:t>
                </a:r>
              </a:p>
            </c:rich>
          </c:tx>
          <c:overlay val="0"/>
        </c:title>
        <c:numFmt formatCode="#,##0" sourceLinked="1"/>
        <c:majorTickMark val="none"/>
        <c:minorTickMark val="none"/>
        <c:tickLblPos val="nextTo"/>
        <c:txPr>
          <a:bodyPr/>
          <a:lstStyle/>
          <a:p>
            <a:pPr>
              <a:defRPr sz="800" b="1"/>
            </a:pPr>
            <a:endParaRPr lang="en-US"/>
          </a:p>
        </c:txPr>
        <c:crossAx val="354867840"/>
        <c:crosses val="autoZero"/>
        <c:crossBetween val="midCat"/>
        <c:majorUnit val="2000"/>
      </c:valAx>
    </c:plotArea>
    <c:legend>
      <c:legendPos val="b"/>
      <c:layout>
        <c:manualLayout>
          <c:xMode val="edge"/>
          <c:yMode val="edge"/>
          <c:x val="2.5071736499258836E-3"/>
          <c:y val="0.94646063696420779"/>
          <c:w val="0.99749282635007408"/>
          <c:h val="4.4525516600228188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200E-3678-4D20-B132-1EF6E87FC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4</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2017-06-09T15:24:00Z</dcterms:created>
  <dcterms:modified xsi:type="dcterms:W3CDTF">2017-06-09T15:24:00Z</dcterms:modified>
</cp:coreProperties>
</file>