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08AA1D70" w:rsidR="00D437BD" w:rsidRPr="009D4FCA" w:rsidRDefault="00966624" w:rsidP="00B005AC">
      <w:pPr>
        <w:autoSpaceDE w:val="0"/>
        <w:autoSpaceDN w:val="0"/>
        <w:adjustRightInd w:val="0"/>
        <w:ind w:firstLine="0"/>
        <w:rPr>
          <w:b/>
          <w:sz w:val="22"/>
        </w:rPr>
      </w:pPr>
      <w:r w:rsidRPr="00DE1D77">
        <w:rPr>
          <w:sz w:val="22"/>
        </w:rPr>
        <w:t xml:space="preserve">We review here </w:t>
      </w:r>
      <w:r w:rsidR="003E4587" w:rsidRPr="00DE1D77">
        <w:rPr>
          <w:sz w:val="22"/>
        </w:rPr>
        <w:t>a published article in</w:t>
      </w:r>
      <w:r w:rsidR="009D4FCA">
        <w:rPr>
          <w:sz w:val="22"/>
        </w:rPr>
        <w:t xml:space="preserve"> </w:t>
      </w:r>
      <w:r w:rsidR="009D4FCA" w:rsidRPr="009D4FCA">
        <w:rPr>
          <w:rFonts w:ascii="AdvGulliv-I" w:hAnsi="AdvGulliv-I" w:cs="AdvGulliv-I"/>
          <w:b/>
          <w:sz w:val="22"/>
        </w:rPr>
        <w:t>International Journal of Heat and Mass Transfer 104 (2017) 533–536</w:t>
      </w:r>
      <w:r w:rsidR="00811EE4" w:rsidRPr="00F537E2">
        <w:rPr>
          <w:b/>
          <w:sz w:val="22"/>
        </w:rPr>
        <w:t>,</w:t>
      </w:r>
      <w:r w:rsidR="00811EE4">
        <w:rPr>
          <w:sz w:val="22"/>
        </w:rPr>
        <w:t xml:space="preserve"> </w:t>
      </w:r>
      <w:r w:rsidR="003E4587" w:rsidRPr="00DE1D77">
        <w:rPr>
          <w:sz w:val="22"/>
        </w:rPr>
        <w:t>entitled</w:t>
      </w:r>
      <w:r w:rsidR="009D4FCA">
        <w:rPr>
          <w:sz w:val="22"/>
        </w:rPr>
        <w:t xml:space="preserve"> </w:t>
      </w:r>
      <w:r w:rsidR="009D4FCA" w:rsidRPr="009D4FCA">
        <w:rPr>
          <w:rFonts w:ascii="Rosalind Serif" w:hAnsi="Rosalind Serif" w:cs="Arial"/>
          <w:b/>
          <w:color w:val="111111"/>
          <w:kern w:val="36"/>
          <w:sz w:val="22"/>
          <w:lang w:val="en"/>
        </w:rPr>
        <w:t>Effects of particle diameter on flow characteristics in sand columns</w:t>
      </w:r>
      <w:r w:rsidR="00B005AC" w:rsidRPr="00F537E2">
        <w:rPr>
          <w:b/>
          <w:sz w:val="22"/>
        </w:rPr>
        <w:t xml:space="preserve"> </w:t>
      </w:r>
      <w:r w:rsidR="003B7F13" w:rsidRPr="001D0B5F">
        <w:rPr>
          <w:i/>
          <w:sz w:val="22"/>
        </w:rPr>
        <w:t>by</w:t>
      </w:r>
      <w:r w:rsidR="00DE1D77" w:rsidRPr="00DE1D77">
        <w:rPr>
          <w:b/>
          <w:sz w:val="22"/>
        </w:rPr>
        <w:t xml:space="preserve"> </w:t>
      </w:r>
      <w:r w:rsidR="009D4FCA">
        <w:rPr>
          <w:b/>
          <w:sz w:val="22"/>
        </w:rPr>
        <w:t>Li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73DA31FE" w14:textId="77777777" w:rsidR="009D4FCA" w:rsidRPr="009D4FCA" w:rsidRDefault="009D4FCA" w:rsidP="009D4FCA">
      <w:pPr>
        <w:autoSpaceDE w:val="0"/>
        <w:autoSpaceDN w:val="0"/>
        <w:adjustRightInd w:val="0"/>
        <w:ind w:firstLine="0"/>
        <w:rPr>
          <w:rFonts w:ascii="AdvGulliv-R" w:hAnsi="AdvGulliv-R" w:cs="AdvGulliv-R"/>
          <w:sz w:val="22"/>
        </w:rPr>
      </w:pPr>
      <w:r w:rsidRPr="009D4FCA">
        <w:rPr>
          <w:rFonts w:ascii="AdvGulliv-R" w:hAnsi="AdvGulliv-R" w:cs="AdvGulliv-R"/>
          <w:sz w:val="22"/>
        </w:rPr>
        <w:t>This work aims to investigate the effects of particle size on flow regimes and validation of Darcy law.</w:t>
      </w:r>
    </w:p>
    <w:p w14:paraId="14BCD024" w14:textId="77777777" w:rsidR="009D4FCA" w:rsidRPr="009D4FCA" w:rsidRDefault="009D4FCA" w:rsidP="009D4FCA">
      <w:pPr>
        <w:autoSpaceDE w:val="0"/>
        <w:autoSpaceDN w:val="0"/>
        <w:adjustRightInd w:val="0"/>
        <w:ind w:firstLine="0"/>
        <w:rPr>
          <w:rFonts w:ascii="AdvGulliv-R" w:hAnsi="AdvGulliv-R" w:cs="AdvGulliv-R"/>
          <w:sz w:val="22"/>
        </w:rPr>
      </w:pPr>
      <w:r w:rsidRPr="009D4FCA">
        <w:rPr>
          <w:rFonts w:ascii="AdvGulliv-R" w:hAnsi="AdvGulliv-R" w:cs="AdvGulliv-R"/>
          <w:sz w:val="22"/>
        </w:rPr>
        <w:t>Experiments were conducted in sand columns with five different particle sizes of silica sand in mean</w:t>
      </w:r>
    </w:p>
    <w:p w14:paraId="244BACC3" w14:textId="696DDAFC" w:rsidR="009D4FCA" w:rsidRPr="009D4FCA" w:rsidRDefault="009D4FCA" w:rsidP="009D4FCA">
      <w:pPr>
        <w:autoSpaceDE w:val="0"/>
        <w:autoSpaceDN w:val="0"/>
        <w:adjustRightInd w:val="0"/>
        <w:ind w:firstLine="0"/>
        <w:rPr>
          <w:rFonts w:ascii="AdvGulliv-R" w:hAnsi="AdvGulliv-R" w:cs="AdvGulliv-R"/>
          <w:sz w:val="22"/>
        </w:rPr>
      </w:pPr>
      <w:r w:rsidRPr="009D4FCA">
        <w:rPr>
          <w:rFonts w:ascii="AdvGulliv-R" w:hAnsi="AdvGulliv-R" w:cs="AdvGulliv-R"/>
          <w:sz w:val="22"/>
        </w:rPr>
        <w:t>diameter 1.075 mm, 1.475 mm, 1.85 mm, 2.5 mm and 3.17 mm. Both pre</w:t>
      </w:r>
      <w:r>
        <w:rPr>
          <w:rFonts w:ascii="AdvGulliv-R" w:hAnsi="AdvGulliv-R" w:cs="AdvGulliv-R"/>
          <w:sz w:val="22"/>
        </w:rPr>
        <w:t xml:space="preserve">-Darcy flow and post Darcy flow </w:t>
      </w:r>
      <w:r w:rsidRPr="009D4FCA">
        <w:rPr>
          <w:rFonts w:ascii="AdvGulliv-R" w:hAnsi="AdvGulliv-R" w:cs="AdvGulliv-R"/>
          <w:sz w:val="22"/>
        </w:rPr>
        <w:t>were identified but no obvious linear flow was observed, the Reynold</w:t>
      </w:r>
      <w:r>
        <w:rPr>
          <w:rFonts w:ascii="AdvGulliv-R" w:hAnsi="AdvGulliv-R" w:cs="AdvGulliv-R"/>
          <w:sz w:val="22"/>
        </w:rPr>
        <w:t xml:space="preserve">s number of two flow regime are </w:t>
      </w:r>
      <w:r w:rsidRPr="009D4FCA">
        <w:rPr>
          <w:rFonts w:ascii="AdvGulliv-R" w:hAnsi="AdvGulliv-R" w:cs="AdvGulliv-R"/>
          <w:sz w:val="22"/>
        </w:rPr>
        <w:t>different with different grain sizes. Relative error was used to evaluate t</w:t>
      </w:r>
      <w:r>
        <w:rPr>
          <w:rFonts w:ascii="AdvGulliv-R" w:hAnsi="AdvGulliv-R" w:cs="AdvGulliv-R"/>
          <w:sz w:val="22"/>
        </w:rPr>
        <w:t xml:space="preserve">he experimental data and obtain </w:t>
      </w:r>
      <w:r w:rsidRPr="009D4FCA">
        <w:rPr>
          <w:rFonts w:ascii="AdvGulliv-R" w:hAnsi="AdvGulliv-R" w:cs="AdvGulliv-R"/>
          <w:sz w:val="22"/>
        </w:rPr>
        <w:t>that the values of Reynolds number at the demarcation point are 3.90, 7.0</w:t>
      </w:r>
      <w:r>
        <w:rPr>
          <w:rFonts w:ascii="AdvGulliv-R" w:hAnsi="AdvGulliv-R" w:cs="AdvGulliv-R"/>
          <w:sz w:val="22"/>
        </w:rPr>
        <w:t xml:space="preserve">8, 9.1 and 10.78. The values of </w:t>
      </w:r>
      <w:r w:rsidRPr="009D4FCA">
        <w:rPr>
          <w:rFonts w:ascii="AdvGulliv-R" w:hAnsi="AdvGulliv-R" w:cs="AdvGulliv-R"/>
          <w:sz w:val="22"/>
        </w:rPr>
        <w:t>Reynolds number of two flow regime increased gradually as the par</w:t>
      </w:r>
      <w:r>
        <w:rPr>
          <w:rFonts w:ascii="AdvGulliv-R" w:hAnsi="AdvGulliv-R" w:cs="AdvGulliv-R"/>
          <w:sz w:val="22"/>
        </w:rPr>
        <w:t xml:space="preserve">ticle diameter increased. A new </w:t>
      </w:r>
      <w:r w:rsidRPr="009D4FCA">
        <w:rPr>
          <w:rFonts w:ascii="AdvGulliv-R" w:hAnsi="AdvGulliv-R" w:cs="AdvGulliv-R"/>
          <w:sz w:val="22"/>
        </w:rPr>
        <w:t>Reynolds number defined as ratio of inertia term and viscous term in Forchheimer equation can lead</w:t>
      </w:r>
    </w:p>
    <w:p w14:paraId="64F82F21" w14:textId="3ACBB06C" w:rsidR="009D4FCA" w:rsidRPr="009D4FCA" w:rsidRDefault="009D4FCA" w:rsidP="009D4FCA">
      <w:pPr>
        <w:autoSpaceDE w:val="0"/>
        <w:autoSpaceDN w:val="0"/>
        <w:adjustRightInd w:val="0"/>
        <w:ind w:firstLine="0"/>
        <w:rPr>
          <w:rFonts w:ascii="AdvGulliv-R" w:hAnsi="AdvGulliv-R" w:cs="AdvGulliv-R"/>
          <w:sz w:val="22"/>
        </w:rPr>
      </w:pPr>
      <w:r w:rsidRPr="009D4FCA">
        <w:rPr>
          <w:rFonts w:ascii="AdvGulliv-R" w:hAnsi="AdvGulliv-R" w:cs="AdvGulliv-R"/>
          <w:sz w:val="22"/>
        </w:rPr>
        <w:t>to a single criterion for determining the limit of validity of Darc</w:t>
      </w:r>
      <w:r>
        <w:rPr>
          <w:rFonts w:ascii="AdvGulliv-R" w:hAnsi="AdvGulliv-R" w:cs="AdvGulliv-R"/>
          <w:sz w:val="22"/>
        </w:rPr>
        <w:t xml:space="preserve">y law. The recommended critical </w:t>
      </w:r>
      <w:r w:rsidRPr="009D4FCA">
        <w:rPr>
          <w:rFonts w:ascii="AdvGulliv-R" w:hAnsi="AdvGulliv-R" w:cs="AdvGulliv-R"/>
          <w:sz w:val="22"/>
        </w:rPr>
        <w:t>Reynolds number for non-Darcy flow is equal to 0.1, where the error of neglecting inertial effects in</w:t>
      </w:r>
    </w:p>
    <w:p w14:paraId="00CBBBE2" w14:textId="2034EDAA" w:rsidR="00AB6EF7" w:rsidRPr="009D4FCA" w:rsidRDefault="009D4FCA" w:rsidP="009D4FCA">
      <w:pPr>
        <w:ind w:firstLine="0"/>
        <w:rPr>
          <w:sz w:val="22"/>
        </w:rPr>
      </w:pPr>
      <w:r w:rsidRPr="009D4FCA">
        <w:rPr>
          <w:rFonts w:ascii="AdvGulliv-R" w:hAnsi="AdvGulliv-R" w:cs="AdvGulliv-R"/>
          <w:sz w:val="22"/>
        </w:rPr>
        <w:t>the hydraulic gradient will be less than 10%.</w:t>
      </w: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741B8B1D" w14:textId="28FD821C" w:rsidR="00790775" w:rsidRDefault="00AB6EF7" w:rsidP="0056703B">
      <w:pPr>
        <w:ind w:firstLine="0"/>
        <w:rPr>
          <w:sz w:val="22"/>
        </w:rPr>
      </w:pPr>
      <w:r w:rsidRPr="001E14D2">
        <w:rPr>
          <w:sz w:val="22"/>
        </w:rPr>
        <w:t xml:space="preserve">In our Fig. </w:t>
      </w:r>
      <w:r w:rsidR="00966624" w:rsidRPr="001E14D2">
        <w:rPr>
          <w:sz w:val="22"/>
        </w:rPr>
        <w:t>A</w:t>
      </w:r>
      <w:r w:rsidR="007F1870">
        <w:rPr>
          <w:sz w:val="22"/>
        </w:rPr>
        <w:t>-1</w:t>
      </w:r>
      <w:r w:rsidRPr="001E14D2">
        <w:rPr>
          <w:sz w:val="22"/>
        </w:rPr>
        <w:t xml:space="preserve"> herein, </w:t>
      </w:r>
      <w:r w:rsidR="001E14D2">
        <w:rPr>
          <w:sz w:val="22"/>
        </w:rPr>
        <w:t xml:space="preserve">we show an elaboration of Fig. </w:t>
      </w:r>
      <w:r w:rsidR="00706B00">
        <w:rPr>
          <w:sz w:val="22"/>
        </w:rPr>
        <w:t>1</w:t>
      </w:r>
      <w:r w:rsidR="00E62D5F">
        <w:rPr>
          <w:sz w:val="22"/>
        </w:rPr>
        <w:t xml:space="preserve"> </w:t>
      </w:r>
      <w:r w:rsidRPr="001E14D2">
        <w:rPr>
          <w:sz w:val="22"/>
        </w:rPr>
        <w:t>in the paper for the experimental data reported</w:t>
      </w:r>
      <w:r w:rsidR="007F1870">
        <w:rPr>
          <w:sz w:val="22"/>
        </w:rPr>
        <w:t xml:space="preserve"> for the </w:t>
      </w:r>
      <w:r w:rsidR="00706B00">
        <w:rPr>
          <w:sz w:val="22"/>
        </w:rPr>
        <w:t>5 columns under study</w:t>
      </w:r>
      <w:r w:rsidR="001E14D2">
        <w:rPr>
          <w:sz w:val="22"/>
        </w:rPr>
        <w:t xml:space="preserve">. As can be seen in the plot, </w:t>
      </w:r>
      <w:r w:rsidR="00706B00">
        <w:rPr>
          <w:sz w:val="22"/>
        </w:rPr>
        <w:t>we have used the QFFM to correctly replicate the measured data.</w:t>
      </w:r>
    </w:p>
    <w:p w14:paraId="23140EC4" w14:textId="77777777" w:rsidR="0056703B" w:rsidRPr="0056703B" w:rsidRDefault="0056703B" w:rsidP="0056703B">
      <w:pPr>
        <w:ind w:firstLine="0"/>
        <w:rPr>
          <w:sz w:val="22"/>
        </w:rPr>
      </w:pPr>
    </w:p>
    <w:p w14:paraId="3D17CAE8" w14:textId="77777777" w:rsidR="007113A4" w:rsidRDefault="00B308B8" w:rsidP="00B308B8">
      <w:pPr>
        <w:rPr>
          <w:b/>
          <w:szCs w:val="24"/>
        </w:rPr>
      </w:pPr>
      <w:r w:rsidRPr="003368A3">
        <w:rPr>
          <w:b/>
          <w:szCs w:val="24"/>
        </w:rPr>
        <w:t>Fig. A-1</w:t>
      </w:r>
    </w:p>
    <w:p w14:paraId="6A7FD12C" w14:textId="6B7587AF" w:rsidR="00B308B8" w:rsidRPr="003368A3" w:rsidRDefault="00B308B8" w:rsidP="00B308B8">
      <w:pPr>
        <w:rPr>
          <w:b/>
          <w:szCs w:val="24"/>
        </w:rPr>
      </w:pPr>
      <w:r w:rsidRPr="003368A3">
        <w:rPr>
          <w:b/>
          <w:szCs w:val="24"/>
        </w:rPr>
        <w:t xml:space="preserve"> </w:t>
      </w:r>
      <w:r w:rsidR="007113A4">
        <w:rPr>
          <w:noProof/>
        </w:rPr>
        <w:drawing>
          <wp:inline distT="0" distB="0" distL="0" distR="0" wp14:anchorId="16E3241C" wp14:editId="42CE7D54">
            <wp:extent cx="6083668" cy="2753771"/>
            <wp:effectExtent l="0" t="0" r="12700" b="279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8772D" w14:textId="30376EDB" w:rsidR="001B7DE8" w:rsidRDefault="001B7DE8" w:rsidP="00B308B8">
      <w:pPr>
        <w:rPr>
          <w:sz w:val="20"/>
          <w:szCs w:val="20"/>
        </w:rPr>
      </w:pPr>
    </w:p>
    <w:p w14:paraId="4AD3FAB4" w14:textId="77777777" w:rsidR="0056703B" w:rsidRDefault="0056703B" w:rsidP="00B308B8">
      <w:pPr>
        <w:rPr>
          <w:sz w:val="20"/>
          <w:szCs w:val="20"/>
        </w:rPr>
      </w:pPr>
    </w:p>
    <w:p w14:paraId="11877840" w14:textId="71CC776D" w:rsidR="00B8435D" w:rsidRDefault="00B8435D" w:rsidP="00B8435D">
      <w:pPr>
        <w:ind w:firstLine="0"/>
        <w:rPr>
          <w:sz w:val="22"/>
        </w:rPr>
      </w:pPr>
      <w:r w:rsidRPr="001E14D2">
        <w:rPr>
          <w:sz w:val="22"/>
        </w:rPr>
        <w:t>In our Fig. A</w:t>
      </w:r>
      <w:r>
        <w:rPr>
          <w:sz w:val="22"/>
        </w:rPr>
        <w:t>-2</w:t>
      </w:r>
      <w:r w:rsidRPr="001E14D2">
        <w:rPr>
          <w:sz w:val="22"/>
        </w:rPr>
        <w:t xml:space="preserve"> herein, </w:t>
      </w:r>
      <w:r>
        <w:rPr>
          <w:sz w:val="22"/>
        </w:rPr>
        <w:t xml:space="preserve">we show an elaboration of Fig. </w:t>
      </w:r>
      <w:r w:rsidR="00706B00">
        <w:rPr>
          <w:sz w:val="22"/>
        </w:rPr>
        <w:t>1</w:t>
      </w:r>
      <w:r>
        <w:rPr>
          <w:sz w:val="22"/>
        </w:rPr>
        <w:t xml:space="preserve"> </w:t>
      </w:r>
      <w:r w:rsidRPr="001E14D2">
        <w:rPr>
          <w:sz w:val="22"/>
        </w:rPr>
        <w:t xml:space="preserve">in the paper for the </w:t>
      </w:r>
      <w:r w:rsidR="00706B00">
        <w:rPr>
          <w:sz w:val="22"/>
        </w:rPr>
        <w:t>underlying data</w:t>
      </w:r>
      <w:r>
        <w:rPr>
          <w:sz w:val="22"/>
        </w:rPr>
        <w:t xml:space="preserve">. As can be seen in the plot, the reported data needs to be corrected using the QFFM in order to align the </w:t>
      </w:r>
      <w:r w:rsidR="00A92C41">
        <w:rPr>
          <w:sz w:val="22"/>
        </w:rPr>
        <w:t>calculated and measured data.</w:t>
      </w:r>
      <w:r>
        <w:rPr>
          <w:sz w:val="22"/>
        </w:rPr>
        <w:t xml:space="preserve"> </w:t>
      </w:r>
    </w:p>
    <w:p w14:paraId="228D10FC" w14:textId="77777777" w:rsidR="0056703B" w:rsidRDefault="0056703B" w:rsidP="00B8435D">
      <w:pPr>
        <w:ind w:firstLine="0"/>
        <w:rPr>
          <w:b/>
          <w:szCs w:val="24"/>
        </w:rPr>
      </w:pPr>
    </w:p>
    <w:p w14:paraId="5387497F" w14:textId="081B743E" w:rsidR="0056703B" w:rsidRDefault="0056703B" w:rsidP="00B308B8">
      <w:pPr>
        <w:rPr>
          <w:b/>
          <w:szCs w:val="24"/>
        </w:rPr>
      </w:pPr>
      <w:r w:rsidRPr="0056703B">
        <w:rPr>
          <w:b/>
          <w:szCs w:val="24"/>
        </w:rPr>
        <w:t>Fig. A-2</w:t>
      </w:r>
    </w:p>
    <w:p w14:paraId="18141150" w14:textId="77777777" w:rsidR="00A92C41" w:rsidRDefault="00A92C41" w:rsidP="00B308B8">
      <w:pPr>
        <w:rPr>
          <w:b/>
          <w:szCs w:val="24"/>
        </w:rPr>
      </w:pPr>
    </w:p>
    <w:p w14:paraId="65D8AFA1" w14:textId="46BFBC99" w:rsidR="00877798" w:rsidRPr="0056703B" w:rsidRDefault="007113A4" w:rsidP="00B308B8">
      <w:pPr>
        <w:rPr>
          <w:b/>
          <w:szCs w:val="24"/>
        </w:rPr>
      </w:pPr>
      <w:r>
        <w:rPr>
          <w:noProof/>
        </w:rPr>
        <w:drawing>
          <wp:inline distT="0" distB="0" distL="0" distR="0" wp14:anchorId="44B30590" wp14:editId="7195BA2C">
            <wp:extent cx="6094238" cy="2605775"/>
            <wp:effectExtent l="0" t="0" r="20955" b="234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45B1AB" w14:textId="6BC2A6E5" w:rsidR="0056703B" w:rsidRDefault="0056703B" w:rsidP="00B308B8">
      <w:pPr>
        <w:rPr>
          <w:sz w:val="20"/>
          <w:szCs w:val="20"/>
        </w:rPr>
      </w:pPr>
    </w:p>
    <w:p w14:paraId="18D14B39" w14:textId="77777777" w:rsidR="0056703B" w:rsidRDefault="0056703B" w:rsidP="00B308B8">
      <w:pPr>
        <w:rPr>
          <w:b/>
          <w:szCs w:val="24"/>
        </w:rPr>
      </w:pPr>
    </w:p>
    <w:p w14:paraId="4250CC4B" w14:textId="3193C1C3" w:rsidR="00B308B8" w:rsidRDefault="00B308B8">
      <w:pPr>
        <w:rPr>
          <w:noProof/>
        </w:rPr>
      </w:pPr>
    </w:p>
    <w:p w14:paraId="7A2ECEB0" w14:textId="77777777" w:rsidR="00790775" w:rsidRPr="009D199E" w:rsidRDefault="00790775" w:rsidP="00790775">
      <w:pPr>
        <w:rPr>
          <w:sz w:val="22"/>
        </w:rPr>
      </w:pPr>
      <w:r w:rsidRPr="009D199E">
        <w:rPr>
          <w:sz w:val="22"/>
        </w:rPr>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2B42CA35" w14:textId="77777777" w:rsidR="00B8435D" w:rsidRDefault="00B8435D" w:rsidP="009162C4">
      <w:pPr>
        <w:ind w:firstLine="0"/>
        <w:rPr>
          <w:b/>
          <w:szCs w:val="24"/>
        </w:rPr>
      </w:pPr>
    </w:p>
    <w:p w14:paraId="75B773CA" w14:textId="77777777" w:rsidR="0093073E" w:rsidRDefault="0093073E" w:rsidP="009162C4">
      <w:pPr>
        <w:ind w:firstLine="0"/>
        <w:rPr>
          <w:b/>
          <w:szCs w:val="24"/>
        </w:rPr>
      </w:pPr>
    </w:p>
    <w:p w14:paraId="19E1F5BC" w14:textId="77777777" w:rsidR="0093073E" w:rsidRDefault="0093073E" w:rsidP="009162C4">
      <w:pPr>
        <w:ind w:firstLine="0"/>
        <w:rPr>
          <w:b/>
          <w:szCs w:val="24"/>
        </w:rPr>
      </w:pPr>
    </w:p>
    <w:p w14:paraId="0C9CEF9D" w14:textId="77777777" w:rsidR="0093073E" w:rsidRDefault="0093073E" w:rsidP="009162C4">
      <w:pPr>
        <w:ind w:firstLine="0"/>
        <w:rPr>
          <w:b/>
          <w:szCs w:val="24"/>
        </w:rPr>
      </w:pPr>
    </w:p>
    <w:p w14:paraId="7BA103FE" w14:textId="77777777" w:rsidR="0093073E" w:rsidRDefault="0093073E" w:rsidP="009162C4">
      <w:pPr>
        <w:ind w:firstLine="0"/>
        <w:rPr>
          <w:b/>
          <w:szCs w:val="24"/>
        </w:rPr>
      </w:pPr>
    </w:p>
    <w:p w14:paraId="6B231CAF" w14:textId="77777777" w:rsidR="0093073E" w:rsidRDefault="0093073E" w:rsidP="009162C4">
      <w:pPr>
        <w:ind w:firstLine="0"/>
        <w:rPr>
          <w:b/>
          <w:szCs w:val="24"/>
        </w:rPr>
      </w:pPr>
    </w:p>
    <w:p w14:paraId="3D1057B1" w14:textId="77777777" w:rsidR="0093073E" w:rsidRDefault="0093073E" w:rsidP="009162C4">
      <w:pPr>
        <w:ind w:firstLine="0"/>
        <w:rPr>
          <w:b/>
          <w:szCs w:val="24"/>
        </w:rPr>
      </w:pPr>
    </w:p>
    <w:p w14:paraId="3700ED5B" w14:textId="77777777" w:rsidR="0093073E" w:rsidRDefault="0093073E" w:rsidP="009162C4">
      <w:pPr>
        <w:ind w:firstLine="0"/>
        <w:rPr>
          <w:b/>
          <w:szCs w:val="24"/>
        </w:rPr>
      </w:pPr>
    </w:p>
    <w:p w14:paraId="399E7D8C" w14:textId="77777777" w:rsidR="0093073E" w:rsidRDefault="0093073E" w:rsidP="009162C4">
      <w:pPr>
        <w:ind w:firstLine="0"/>
        <w:rPr>
          <w:b/>
          <w:szCs w:val="24"/>
        </w:rPr>
      </w:pPr>
    </w:p>
    <w:p w14:paraId="10433443" w14:textId="77777777" w:rsidR="0093073E" w:rsidRDefault="0093073E" w:rsidP="009162C4">
      <w:pPr>
        <w:ind w:firstLine="0"/>
        <w:rPr>
          <w:b/>
          <w:szCs w:val="24"/>
        </w:rPr>
      </w:pPr>
    </w:p>
    <w:p w14:paraId="7D389DFE" w14:textId="77777777" w:rsidR="0093073E" w:rsidRDefault="0093073E" w:rsidP="009162C4">
      <w:pPr>
        <w:ind w:firstLine="0"/>
        <w:rPr>
          <w:b/>
          <w:szCs w:val="24"/>
        </w:rPr>
      </w:pPr>
    </w:p>
    <w:p w14:paraId="00120733" w14:textId="77777777" w:rsidR="0093073E" w:rsidRDefault="0093073E" w:rsidP="009162C4">
      <w:pPr>
        <w:ind w:firstLine="0"/>
        <w:rPr>
          <w:b/>
          <w:szCs w:val="24"/>
        </w:rPr>
      </w:pPr>
    </w:p>
    <w:p w14:paraId="0AE88BEB" w14:textId="77777777" w:rsidR="008E5AB7" w:rsidRPr="008E5AB7" w:rsidRDefault="008E5AB7" w:rsidP="008E5AB7">
      <w:pPr>
        <w:rPr>
          <w:b/>
          <w:szCs w:val="24"/>
        </w:rPr>
      </w:pPr>
      <w:r w:rsidRPr="008E5AB7">
        <w:rPr>
          <w:b/>
          <w:szCs w:val="24"/>
        </w:rPr>
        <w:t>Fig. B</w:t>
      </w:r>
    </w:p>
    <w:p w14:paraId="19A42249" w14:textId="188596C7" w:rsidR="00F536B3" w:rsidRDefault="007113A4">
      <w:pPr>
        <w:rPr>
          <w:noProof/>
        </w:rPr>
      </w:pPr>
      <w:r>
        <w:rPr>
          <w:noProof/>
        </w:rPr>
        <w:drawing>
          <wp:inline distT="0" distB="0" distL="0" distR="0" wp14:anchorId="57F60411" wp14:editId="59550301">
            <wp:extent cx="5943600" cy="470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7942DB4B" w14:textId="77777777" w:rsidR="00877798" w:rsidRPr="001E1E04" w:rsidRDefault="00877798"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0730BA51" w14:textId="0A6656BB" w:rsidR="009162C4" w:rsidRPr="003021F0" w:rsidRDefault="009162C4" w:rsidP="00A92C41">
      <w:pPr>
        <w:ind w:firstLine="0"/>
        <w:rPr>
          <w:i/>
          <w:sz w:val="20"/>
          <w:szCs w:val="20"/>
        </w:rPr>
      </w:pPr>
      <w:r w:rsidRPr="00933A92">
        <w:rPr>
          <w:sz w:val="20"/>
          <w:szCs w:val="20"/>
        </w:rPr>
        <w:t xml:space="preserve">We conclude that the results in </w:t>
      </w:r>
      <w:r>
        <w:rPr>
          <w:sz w:val="20"/>
          <w:szCs w:val="20"/>
        </w:rPr>
        <w:t>this paper suffer from deficiencies in the experimental pr</w:t>
      </w:r>
      <w:r w:rsidR="00B8435D">
        <w:rPr>
          <w:sz w:val="20"/>
          <w:szCs w:val="20"/>
        </w:rPr>
        <w:t>otocols used in the experiments</w:t>
      </w:r>
      <w:r>
        <w:rPr>
          <w:sz w:val="20"/>
          <w:szCs w:val="20"/>
        </w:rPr>
        <w:t xml:space="preserve">. As a result, there is a mismatch between the measured variables and the measured pressure drop. This mismatch is only </w:t>
      </w:r>
      <w:r w:rsidRPr="00E60BEF">
        <w:rPr>
          <w:i/>
          <w:sz w:val="20"/>
          <w:szCs w:val="20"/>
        </w:rPr>
        <w:t>apparent and quantifiable</w:t>
      </w:r>
      <w:r>
        <w:rPr>
          <w:sz w:val="20"/>
          <w:szCs w:val="20"/>
        </w:rPr>
        <w:t xml:space="preserve"> in the context of the QFFM and, therefore, can only be corrected using this model</w:t>
      </w:r>
      <w:r w:rsidR="002556DA">
        <w:rPr>
          <w:sz w:val="20"/>
          <w:szCs w:val="20"/>
        </w:rPr>
        <w:t>. Accordingly, since the author</w:t>
      </w:r>
      <w:r w:rsidR="000E3E14">
        <w:rPr>
          <w:sz w:val="20"/>
          <w:szCs w:val="20"/>
        </w:rPr>
        <w:t>s</w:t>
      </w:r>
      <w:r>
        <w:rPr>
          <w:sz w:val="20"/>
          <w:szCs w:val="20"/>
        </w:rPr>
        <w:t xml:space="preserve"> did not have</w:t>
      </w:r>
      <w:r w:rsidR="000E3E14">
        <w:rPr>
          <w:sz w:val="20"/>
          <w:szCs w:val="20"/>
        </w:rPr>
        <w:t xml:space="preserve"> access to Quinn’s Law when they</w:t>
      </w:r>
      <w:r w:rsidR="002556DA">
        <w:rPr>
          <w:sz w:val="20"/>
          <w:szCs w:val="20"/>
        </w:rPr>
        <w:t xml:space="preserve"> wr</w:t>
      </w:r>
      <w:r w:rsidR="000E3E14">
        <w:rPr>
          <w:sz w:val="20"/>
          <w:szCs w:val="20"/>
        </w:rPr>
        <w:t>ote the paper, they</w:t>
      </w:r>
      <w:r>
        <w:rPr>
          <w:sz w:val="20"/>
          <w:szCs w:val="20"/>
        </w:rPr>
        <w:t xml:space="preserve"> </w:t>
      </w:r>
      <w:r w:rsidRPr="005019D3">
        <w:rPr>
          <w:i/>
          <w:sz w:val="20"/>
          <w:szCs w:val="20"/>
        </w:rPr>
        <w:t>could not have</w:t>
      </w:r>
      <w:r>
        <w:rPr>
          <w:i/>
          <w:sz w:val="20"/>
          <w:szCs w:val="20"/>
        </w:rPr>
        <w:t xml:space="preserve"> </w:t>
      </w:r>
      <w:r w:rsidRPr="005019D3">
        <w:rPr>
          <w:sz w:val="20"/>
          <w:szCs w:val="20"/>
        </w:rPr>
        <w:t>corrected</w:t>
      </w:r>
      <w:r>
        <w:rPr>
          <w:sz w:val="20"/>
          <w:szCs w:val="20"/>
        </w:rPr>
        <w:t xml:space="preserve"> the data before attempting to rationalize it by applying the </w:t>
      </w:r>
      <w:r w:rsidR="00A92C41">
        <w:rPr>
          <w:sz w:val="20"/>
          <w:szCs w:val="20"/>
        </w:rPr>
        <w:t>flow model of others</w:t>
      </w:r>
      <w:r>
        <w:rPr>
          <w:sz w:val="20"/>
          <w:szCs w:val="20"/>
        </w:rPr>
        <w:t xml:space="preserve">. This inherent tendency to </w:t>
      </w:r>
      <w:r w:rsidRPr="003021F0">
        <w:rPr>
          <w:i/>
          <w:sz w:val="20"/>
          <w:szCs w:val="20"/>
        </w:rPr>
        <w:t>modify</w:t>
      </w:r>
      <w:r>
        <w:rPr>
          <w:sz w:val="20"/>
          <w:szCs w:val="20"/>
        </w:rPr>
        <w:t xml:space="preserve"> existing equations to correlate </w:t>
      </w:r>
      <w:r w:rsidRPr="00CC2AF1">
        <w:rPr>
          <w:i/>
          <w:sz w:val="20"/>
          <w:szCs w:val="20"/>
        </w:rPr>
        <w:t>unsubstantiated</w:t>
      </w:r>
      <w:r>
        <w:rPr>
          <w:sz w:val="20"/>
          <w:szCs w:val="20"/>
        </w:rPr>
        <w:t xml:space="preserve"> empirical measurements has long since contributed to the confusion that exists in this field of study  and has had a tendency to create the </w:t>
      </w:r>
      <w:r w:rsidRPr="003021F0">
        <w:rPr>
          <w:i/>
          <w:sz w:val="20"/>
          <w:szCs w:val="20"/>
        </w:rPr>
        <w:t>false illusion</w:t>
      </w:r>
      <w:r>
        <w:rPr>
          <w:sz w:val="20"/>
          <w:szCs w:val="20"/>
        </w:rPr>
        <w:t xml:space="preserve"> that these so-called conventional equations are of some </w:t>
      </w:r>
      <w:r w:rsidRPr="00CC2AF1">
        <w:rPr>
          <w:i/>
          <w:sz w:val="20"/>
          <w:szCs w:val="20"/>
        </w:rPr>
        <w:t xml:space="preserve">value </w:t>
      </w:r>
      <w:r>
        <w:rPr>
          <w:sz w:val="20"/>
          <w:szCs w:val="20"/>
        </w:rPr>
        <w:t xml:space="preserve">when, in reality, they are nothing more than </w:t>
      </w:r>
      <w:r w:rsidRPr="003021F0">
        <w:rPr>
          <w:i/>
          <w:sz w:val="20"/>
          <w:szCs w:val="20"/>
        </w:rPr>
        <w:t xml:space="preserve">invalid </w:t>
      </w:r>
      <w:r w:rsidRPr="00655E0F">
        <w:rPr>
          <w:sz w:val="20"/>
          <w:szCs w:val="20"/>
        </w:rPr>
        <w:t>relationships.</w:t>
      </w:r>
    </w:p>
    <w:p w14:paraId="736858F0" w14:textId="77777777" w:rsidR="009162C4" w:rsidRPr="00B1373A" w:rsidRDefault="009162C4" w:rsidP="009162C4">
      <w:pPr>
        <w:ind w:firstLine="0"/>
        <w:rPr>
          <w:b/>
          <w:sz w:val="20"/>
          <w:szCs w:val="20"/>
        </w:rPr>
      </w:pPr>
    </w:p>
    <w:p w14:paraId="0528F324" w14:textId="32F2372E" w:rsidR="009162C4" w:rsidRDefault="009162C4" w:rsidP="009162C4">
      <w:pPr>
        <w:ind w:firstLine="0"/>
        <w:rPr>
          <w:sz w:val="20"/>
          <w:szCs w:val="20"/>
        </w:rPr>
      </w:pPr>
      <w:r>
        <w:rPr>
          <w:sz w:val="20"/>
          <w:szCs w:val="20"/>
        </w:rPr>
        <w:t>Moreover, e</w:t>
      </w:r>
      <w:r w:rsidR="00B8435D">
        <w:rPr>
          <w:sz w:val="20"/>
          <w:szCs w:val="20"/>
        </w:rPr>
        <w:t>ven if the author</w:t>
      </w:r>
      <w:r w:rsidR="000E3E14">
        <w:rPr>
          <w:sz w:val="20"/>
          <w:szCs w:val="20"/>
        </w:rPr>
        <w:t>s</w:t>
      </w:r>
      <w:r w:rsidRPr="00EB2390">
        <w:rPr>
          <w:sz w:val="20"/>
          <w:szCs w:val="20"/>
        </w:rPr>
        <w:t xml:space="preserve"> applied the classical</w:t>
      </w:r>
      <w:r w:rsidRPr="00FF102F">
        <w:rPr>
          <w:sz w:val="20"/>
          <w:szCs w:val="20"/>
          <w:u w:val="single"/>
        </w:rPr>
        <w:t xml:space="preserve"> </w:t>
      </w:r>
      <w:r w:rsidR="00A92C41">
        <w:rPr>
          <w:sz w:val="20"/>
          <w:szCs w:val="20"/>
          <w:u w:val="single"/>
        </w:rPr>
        <w:t>equation of others</w:t>
      </w:r>
      <w:r w:rsidRPr="00EB2390">
        <w:rPr>
          <w:sz w:val="20"/>
          <w:szCs w:val="20"/>
        </w:rPr>
        <w:t>, f</w:t>
      </w:r>
      <w:r>
        <w:rPr>
          <w:sz w:val="20"/>
          <w:szCs w:val="20"/>
        </w:rPr>
        <w:t xml:space="preserve">or instance, or </w:t>
      </w:r>
      <w:r w:rsidR="000E3E14">
        <w:rPr>
          <w:sz w:val="20"/>
          <w:szCs w:val="20"/>
        </w:rPr>
        <w:t>their</w:t>
      </w:r>
      <w:r>
        <w:rPr>
          <w:sz w:val="20"/>
          <w:szCs w:val="20"/>
        </w:rPr>
        <w:t xml:space="preserve"> own newly-</w:t>
      </w:r>
      <w:r w:rsidRPr="00EB2390">
        <w:rPr>
          <w:sz w:val="20"/>
          <w:szCs w:val="20"/>
        </w:rPr>
        <w:t>minted</w:t>
      </w:r>
      <w:r w:rsidRPr="00BE1E85">
        <w:rPr>
          <w:sz w:val="20"/>
          <w:u w:val="single"/>
        </w:rPr>
        <w:t xml:space="preserve"> </w:t>
      </w:r>
      <w:r w:rsidRPr="00C309ED">
        <w:rPr>
          <w:sz w:val="20"/>
          <w:szCs w:val="20"/>
          <w:u w:val="single"/>
        </w:rPr>
        <w:t>modified</w:t>
      </w:r>
      <w:r>
        <w:rPr>
          <w:sz w:val="20"/>
          <w:szCs w:val="20"/>
        </w:rPr>
        <w:t xml:space="preserve"> </w:t>
      </w:r>
      <w:r w:rsidR="00B8435D">
        <w:rPr>
          <w:sz w:val="20"/>
          <w:szCs w:val="20"/>
        </w:rPr>
        <w:t>version thereof</w:t>
      </w:r>
      <w:r w:rsidRPr="00EB2390">
        <w:rPr>
          <w:sz w:val="20"/>
          <w:szCs w:val="20"/>
        </w:rPr>
        <w:t xml:space="preserve">, </w:t>
      </w:r>
      <w:r w:rsidR="000E3E14">
        <w:rPr>
          <w:sz w:val="20"/>
          <w:szCs w:val="20"/>
        </w:rPr>
        <w:t>they</w:t>
      </w:r>
      <w:r w:rsidRPr="00EB2390">
        <w:rPr>
          <w:sz w:val="20"/>
          <w:szCs w:val="20"/>
        </w:rPr>
        <w:t xml:space="preserve"> could not have generated</w:t>
      </w:r>
      <w:r>
        <w:rPr>
          <w:sz w:val="20"/>
          <w:szCs w:val="20"/>
        </w:rPr>
        <w:t xml:space="preserve"> </w:t>
      </w:r>
      <w:r w:rsidRPr="006D3A03">
        <w:rPr>
          <w:i/>
          <w:sz w:val="20"/>
          <w:szCs w:val="20"/>
        </w:rPr>
        <w:t xml:space="preserve">the </w:t>
      </w:r>
      <w:r w:rsidRPr="00EB2390">
        <w:rPr>
          <w:sz w:val="20"/>
          <w:szCs w:val="20"/>
        </w:rPr>
        <w:t>match</w:t>
      </w:r>
      <w:r>
        <w:rPr>
          <w:sz w:val="20"/>
          <w:szCs w:val="20"/>
        </w:rPr>
        <w:t xml:space="preserve"> inherent in the Laws of Nature</w:t>
      </w:r>
      <w:r w:rsidRPr="00EB2390">
        <w:rPr>
          <w:sz w:val="20"/>
          <w:szCs w:val="20"/>
        </w:rPr>
        <w:t xml:space="preserve"> between the calculated pressure drops of </w:t>
      </w:r>
      <w:r w:rsidR="00DD13BF">
        <w:rPr>
          <w:sz w:val="20"/>
          <w:szCs w:val="20"/>
        </w:rPr>
        <w:t>his</w:t>
      </w:r>
      <w:r w:rsidRPr="00EB2390">
        <w:rPr>
          <w:sz w:val="20"/>
          <w:szCs w:val="20"/>
        </w:rPr>
        <w:t xml:space="preserve"> chose</w:t>
      </w:r>
      <w:r w:rsidRPr="007C4805">
        <w:rPr>
          <w:sz w:val="20"/>
          <w:szCs w:val="20"/>
        </w:rPr>
        <w:t>n</w:t>
      </w:r>
      <w:r>
        <w:rPr>
          <w:sz w:val="20"/>
          <w:szCs w:val="20"/>
        </w:rPr>
        <w:t xml:space="preserve"> </w:t>
      </w:r>
      <w:r w:rsidRPr="007C4805">
        <w:rPr>
          <w:sz w:val="20"/>
          <w:szCs w:val="20"/>
        </w:rPr>
        <w:t>equati</w:t>
      </w:r>
      <w:r w:rsidRPr="00EB2390">
        <w:rPr>
          <w:sz w:val="20"/>
          <w:szCs w:val="20"/>
        </w:rPr>
        <w:t xml:space="preserve">on and </w:t>
      </w:r>
      <w:r w:rsidR="00DD13BF">
        <w:rPr>
          <w:sz w:val="20"/>
          <w:szCs w:val="20"/>
        </w:rPr>
        <w:t>his</w:t>
      </w:r>
      <w:r>
        <w:rPr>
          <w:sz w:val="20"/>
          <w:szCs w:val="20"/>
        </w:rPr>
        <w:t xml:space="preserve"> own</w:t>
      </w:r>
      <w:r w:rsidRPr="00EB2390">
        <w:rPr>
          <w:sz w:val="20"/>
          <w:szCs w:val="20"/>
        </w:rPr>
        <w:t xml:space="preserve"> measured pressure drop</w:t>
      </w:r>
      <w:r>
        <w:rPr>
          <w:sz w:val="20"/>
          <w:szCs w:val="20"/>
        </w:rPr>
        <w:t xml:space="preserve">s – </w:t>
      </w:r>
      <w:r w:rsidRPr="00EB2390">
        <w:rPr>
          <w:sz w:val="20"/>
          <w:szCs w:val="20"/>
        </w:rPr>
        <w:t>unless</w:t>
      </w:r>
      <w:r>
        <w:rPr>
          <w:sz w:val="20"/>
          <w:szCs w:val="20"/>
        </w:rPr>
        <w:t xml:space="preserve">, of course, </w:t>
      </w:r>
      <w:r w:rsidR="000E3E14">
        <w:rPr>
          <w:sz w:val="20"/>
          <w:szCs w:val="20"/>
        </w:rPr>
        <w:t>they</w:t>
      </w:r>
      <w:r w:rsidRPr="00EB2390">
        <w:rPr>
          <w:sz w:val="20"/>
          <w:szCs w:val="20"/>
        </w:rPr>
        <w:t xml:space="preserve"> had </w:t>
      </w:r>
      <w:r>
        <w:rPr>
          <w:sz w:val="20"/>
          <w:szCs w:val="20"/>
        </w:rPr>
        <w:t>serendipitously</w:t>
      </w:r>
      <w:r w:rsidRPr="00EB2390">
        <w:rPr>
          <w:sz w:val="20"/>
          <w:szCs w:val="20"/>
        </w:rPr>
        <w:t>, or otherwise, identified the same</w:t>
      </w:r>
      <w:r>
        <w:rPr>
          <w:sz w:val="20"/>
          <w:szCs w:val="20"/>
        </w:rPr>
        <w:t xml:space="preserve"> </w:t>
      </w:r>
      <w:r w:rsidRPr="006D3A03">
        <w:rPr>
          <w:i/>
          <w:sz w:val="20"/>
          <w:szCs w:val="20"/>
        </w:rPr>
        <w:t>unique</w:t>
      </w:r>
      <w:r>
        <w:rPr>
          <w:sz w:val="20"/>
          <w:szCs w:val="20"/>
        </w:rPr>
        <w:t xml:space="preserve"> </w:t>
      </w:r>
      <w:r w:rsidRPr="00EB2390">
        <w:rPr>
          <w:sz w:val="20"/>
          <w:szCs w:val="20"/>
        </w:rPr>
        <w:t xml:space="preserve">equation as that embedded in the QFFM. </w:t>
      </w:r>
    </w:p>
    <w:p w14:paraId="3514E4CB" w14:textId="77777777" w:rsidR="009162C4" w:rsidRPr="00EB2390" w:rsidRDefault="009162C4" w:rsidP="009162C4">
      <w:pPr>
        <w:ind w:firstLine="0"/>
        <w:rPr>
          <w:sz w:val="20"/>
          <w:szCs w:val="20"/>
        </w:rPr>
      </w:pPr>
    </w:p>
    <w:p w14:paraId="7D9A1C94" w14:textId="77777777" w:rsidR="009162C4" w:rsidRPr="006D3FC1" w:rsidRDefault="009162C4" w:rsidP="009162C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C4736" w14:textId="77777777" w:rsidR="00AB14C4" w:rsidRDefault="00AB14C4" w:rsidP="00C451C1">
      <w:r>
        <w:separator/>
      </w:r>
    </w:p>
  </w:endnote>
  <w:endnote w:type="continuationSeparator" w:id="0">
    <w:p w14:paraId="01E43E65" w14:textId="77777777" w:rsidR="00AB14C4" w:rsidRDefault="00AB14C4" w:rsidP="00C451C1">
      <w:r>
        <w:continuationSeparator/>
      </w:r>
    </w:p>
  </w:endnote>
  <w:endnote w:type="continuationNotice" w:id="1">
    <w:p w14:paraId="5616ED7C" w14:textId="77777777" w:rsidR="00AB14C4" w:rsidRDefault="00AB1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Gulliv-I">
    <w:panose1 w:val="00000000000000000000"/>
    <w:charset w:val="00"/>
    <w:family w:val="roman"/>
    <w:notTrueType/>
    <w:pitch w:val="default"/>
    <w:sig w:usb0="00000003" w:usb1="00000000" w:usb2="00000000" w:usb3="00000000" w:csb0="00000001" w:csb1="00000000"/>
  </w:font>
  <w:font w:name="Rosalind Serif">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AdvGulliv-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01053E03" w:rsidR="00405986" w:rsidRDefault="00914030" w:rsidP="001F348A">
    <w:pPr>
      <w:pStyle w:val="Footer"/>
      <w:tabs>
        <w:tab w:val="clear" w:pos="4680"/>
        <w:tab w:val="left" w:pos="0"/>
      </w:tabs>
    </w:pPr>
    <w:r>
      <w:t>6</w:t>
    </w:r>
    <w:r w:rsidR="00756776">
      <w:t>/</w:t>
    </w:r>
    <w:r w:rsidR="00A92C41">
      <w:t>14</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E628FB">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E628FB">
      <w:rPr>
        <w:b/>
        <w:noProof/>
      </w:rPr>
      <w:t>1</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420BA" w14:textId="77777777" w:rsidR="00AB14C4" w:rsidRDefault="00AB14C4" w:rsidP="00C451C1">
      <w:r>
        <w:separator/>
      </w:r>
    </w:p>
  </w:footnote>
  <w:footnote w:type="continuationSeparator" w:id="0">
    <w:p w14:paraId="20C838DC" w14:textId="77777777" w:rsidR="00AB14C4" w:rsidRDefault="00AB14C4" w:rsidP="00C451C1">
      <w:r>
        <w:continuationSeparator/>
      </w:r>
    </w:p>
  </w:footnote>
  <w:footnote w:type="continuationNotice" w:id="1">
    <w:p w14:paraId="1CC30223" w14:textId="77777777" w:rsidR="00AB14C4" w:rsidRDefault="00AB14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97BCB"/>
    <w:rsid w:val="000A0614"/>
    <w:rsid w:val="000A1852"/>
    <w:rsid w:val="000A2A48"/>
    <w:rsid w:val="000A3B2F"/>
    <w:rsid w:val="000A46A5"/>
    <w:rsid w:val="000B270C"/>
    <w:rsid w:val="000B587F"/>
    <w:rsid w:val="000C5C64"/>
    <w:rsid w:val="000C6894"/>
    <w:rsid w:val="000E1D17"/>
    <w:rsid w:val="000E3E14"/>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556DA"/>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6F92"/>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A0523"/>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6703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3099"/>
    <w:rsid w:val="005F4793"/>
    <w:rsid w:val="005F77AF"/>
    <w:rsid w:val="00600B93"/>
    <w:rsid w:val="006010CE"/>
    <w:rsid w:val="006015F1"/>
    <w:rsid w:val="00615F8B"/>
    <w:rsid w:val="00617D19"/>
    <w:rsid w:val="00621ABD"/>
    <w:rsid w:val="00621F4B"/>
    <w:rsid w:val="00630FCC"/>
    <w:rsid w:val="006341FA"/>
    <w:rsid w:val="00635841"/>
    <w:rsid w:val="006364B3"/>
    <w:rsid w:val="00641281"/>
    <w:rsid w:val="00641B67"/>
    <w:rsid w:val="006436D8"/>
    <w:rsid w:val="00643F1D"/>
    <w:rsid w:val="00646C3F"/>
    <w:rsid w:val="0065064F"/>
    <w:rsid w:val="00655E0F"/>
    <w:rsid w:val="00665D1F"/>
    <w:rsid w:val="00683DB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06B00"/>
    <w:rsid w:val="007113A4"/>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0775"/>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1870"/>
    <w:rsid w:val="007F3A15"/>
    <w:rsid w:val="007F50FD"/>
    <w:rsid w:val="007F7EE5"/>
    <w:rsid w:val="008044C1"/>
    <w:rsid w:val="00810594"/>
    <w:rsid w:val="00811EE4"/>
    <w:rsid w:val="00814BB6"/>
    <w:rsid w:val="00820C8F"/>
    <w:rsid w:val="0083042D"/>
    <w:rsid w:val="00837972"/>
    <w:rsid w:val="00844746"/>
    <w:rsid w:val="00854C31"/>
    <w:rsid w:val="00871302"/>
    <w:rsid w:val="0087486D"/>
    <w:rsid w:val="00877204"/>
    <w:rsid w:val="00877798"/>
    <w:rsid w:val="008857B1"/>
    <w:rsid w:val="00887F03"/>
    <w:rsid w:val="00892F59"/>
    <w:rsid w:val="00894973"/>
    <w:rsid w:val="008958BD"/>
    <w:rsid w:val="008A1B01"/>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4030"/>
    <w:rsid w:val="009162C4"/>
    <w:rsid w:val="00917B78"/>
    <w:rsid w:val="009203D3"/>
    <w:rsid w:val="0092051D"/>
    <w:rsid w:val="00921B1E"/>
    <w:rsid w:val="00921DEC"/>
    <w:rsid w:val="0092347F"/>
    <w:rsid w:val="00923873"/>
    <w:rsid w:val="0093073E"/>
    <w:rsid w:val="00931752"/>
    <w:rsid w:val="00933A92"/>
    <w:rsid w:val="009352D3"/>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4FCA"/>
    <w:rsid w:val="009D545F"/>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2C41"/>
    <w:rsid w:val="00A9551E"/>
    <w:rsid w:val="00AA0113"/>
    <w:rsid w:val="00AA1EA6"/>
    <w:rsid w:val="00AA6A8E"/>
    <w:rsid w:val="00AA7114"/>
    <w:rsid w:val="00AB0644"/>
    <w:rsid w:val="00AB14C4"/>
    <w:rsid w:val="00AB1D05"/>
    <w:rsid w:val="00AB34D0"/>
    <w:rsid w:val="00AB3ED0"/>
    <w:rsid w:val="00AB6EF7"/>
    <w:rsid w:val="00AC301C"/>
    <w:rsid w:val="00AC3DDC"/>
    <w:rsid w:val="00AD15FF"/>
    <w:rsid w:val="00AD30A9"/>
    <w:rsid w:val="00AD7F41"/>
    <w:rsid w:val="00AE27FB"/>
    <w:rsid w:val="00AE5ACB"/>
    <w:rsid w:val="00AF4B7F"/>
    <w:rsid w:val="00AF7DD8"/>
    <w:rsid w:val="00B005AC"/>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8435D"/>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458B"/>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3236"/>
    <w:rsid w:val="00D82BCD"/>
    <w:rsid w:val="00D8536D"/>
    <w:rsid w:val="00D87F61"/>
    <w:rsid w:val="00D924EB"/>
    <w:rsid w:val="00D968CD"/>
    <w:rsid w:val="00DA48D0"/>
    <w:rsid w:val="00DA6808"/>
    <w:rsid w:val="00DC588A"/>
    <w:rsid w:val="00DD04CC"/>
    <w:rsid w:val="00DD13BF"/>
    <w:rsid w:val="00DD4DCB"/>
    <w:rsid w:val="00DD5E96"/>
    <w:rsid w:val="00DE0207"/>
    <w:rsid w:val="00DE1D77"/>
    <w:rsid w:val="00DF1F20"/>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8FB"/>
    <w:rsid w:val="00E62D5F"/>
    <w:rsid w:val="00E62F7D"/>
    <w:rsid w:val="00E7076C"/>
    <w:rsid w:val="00E772DC"/>
    <w:rsid w:val="00E77959"/>
    <w:rsid w:val="00E90FFB"/>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537E2"/>
    <w:rsid w:val="00F6028F"/>
    <w:rsid w:val="00F6278C"/>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1 Reported data</a:t>
            </a:r>
          </a:p>
        </c:rich>
      </c:tx>
      <c:overlay val="0"/>
    </c:title>
    <c:autoTitleDeleted val="0"/>
    <c:plotArea>
      <c:layout/>
      <c:scatterChart>
        <c:scatterStyle val="smoothMarker"/>
        <c:varyColors val="0"/>
        <c:ser>
          <c:idx val="0"/>
          <c:order val="0"/>
          <c:tx>
            <c:strRef>
              <c:f>Li!$A$6</c:f>
              <c:strCache>
                <c:ptCount val="1"/>
                <c:pt idx="0">
                  <c:v>1.075</c:v>
                </c:pt>
              </c:strCache>
            </c:strRef>
          </c:tx>
          <c:marker>
            <c:symbol val="none"/>
          </c:marker>
          <c:xVal>
            <c:numRef>
              <c:f>[QFFM.xlsx]Li!$DM$6:$DQ$14</c:f>
              <c:numCache>
                <c:formatCode>0.0000</c:formatCode>
                <c:ptCount val="9"/>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numCache>
            </c:numRef>
          </c:xVal>
          <c:yVal>
            <c:numRef>
              <c:f>Li!$DU$6:$DU$14</c:f>
              <c:numCache>
                <c:formatCode>#,##0.00</c:formatCode>
                <c:ptCount val="9"/>
                <c:pt idx="0">
                  <c:v>1.1507174203636365E-4</c:v>
                </c:pt>
                <c:pt idx="1">
                  <c:v>0.11826512727272728</c:v>
                </c:pt>
                <c:pt idx="2">
                  <c:v>0.2429234181818182</c:v>
                </c:pt>
                <c:pt idx="3">
                  <c:v>0.37397487272727276</c:v>
                </c:pt>
                <c:pt idx="4">
                  <c:v>0.511419490909091</c:v>
                </c:pt>
                <c:pt idx="5">
                  <c:v>0.65525727272727274</c:v>
                </c:pt>
                <c:pt idx="6">
                  <c:v>0.80548821818181826</c:v>
                </c:pt>
                <c:pt idx="7">
                  <c:v>0.96211232727272744</c:v>
                </c:pt>
                <c:pt idx="8">
                  <c:v>1.1251296000000002</c:v>
                </c:pt>
              </c:numCache>
            </c:numRef>
          </c:yVal>
          <c:smooth val="1"/>
        </c:ser>
        <c:ser>
          <c:idx val="2"/>
          <c:order val="1"/>
          <c:tx>
            <c:strRef>
              <c:f>Li!$A$18</c:f>
              <c:strCache>
                <c:ptCount val="1"/>
                <c:pt idx="0">
                  <c:v>1.475</c:v>
                </c:pt>
              </c:strCache>
            </c:strRef>
          </c:tx>
          <c:marker>
            <c:symbol val="none"/>
          </c:marker>
          <c:xVal>
            <c:numRef>
              <c:f>Li!$DM$18:$DM$28</c:f>
              <c:numCache>
                <c:formatCode>0.0000</c:formatCode>
                <c:ptCount val="11"/>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numCache>
            </c:numRef>
          </c:xVal>
          <c:yVal>
            <c:numRef>
              <c:f>Li!$DU$18:$DU$28</c:f>
              <c:numCache>
                <c:formatCode>#,##0.00</c:formatCode>
                <c:ptCount val="11"/>
                <c:pt idx="0">
                  <c:v>7.3305818426446287E-5</c:v>
                </c:pt>
                <c:pt idx="1">
                  <c:v>7.512242644628099E-2</c:v>
                </c:pt>
                <c:pt idx="2">
                  <c:v>0.15388170578512395</c:v>
                </c:pt>
                <c:pt idx="3">
                  <c:v>0.23627783801652891</c:v>
                </c:pt>
                <c:pt idx="4">
                  <c:v>0.32231082314049586</c:v>
                </c:pt>
                <c:pt idx="5">
                  <c:v>0.41198066115702481</c:v>
                </c:pt>
                <c:pt idx="6">
                  <c:v>0.50528735206611564</c:v>
                </c:pt>
                <c:pt idx="7">
                  <c:v>0.60223089586776868</c:v>
                </c:pt>
                <c:pt idx="8">
                  <c:v>0.70281129256198338</c:v>
                </c:pt>
                <c:pt idx="9">
                  <c:v>0.8070285421487603</c:v>
                </c:pt>
                <c:pt idx="10">
                  <c:v>1.0263736000000012</c:v>
                </c:pt>
              </c:numCache>
            </c:numRef>
          </c:yVal>
          <c:smooth val="1"/>
        </c:ser>
        <c:ser>
          <c:idx val="3"/>
          <c:order val="2"/>
          <c:tx>
            <c:strRef>
              <c:f>Li!$A$30</c:f>
              <c:strCache>
                <c:ptCount val="1"/>
                <c:pt idx="0">
                  <c:v>1.85</c:v>
                </c:pt>
              </c:strCache>
            </c:strRef>
          </c:tx>
          <c:marker>
            <c:symbol val="none"/>
          </c:marker>
          <c:xVal>
            <c:numRef>
              <c:f>Li!$DM$30:$DM$40</c:f>
              <c:numCache>
                <c:formatCode>0.0000</c:formatCode>
                <c:ptCount val="11"/>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numCache>
            </c:numRef>
          </c:xVal>
          <c:yVal>
            <c:numRef>
              <c:f>Li!$DU$30:$DU$40</c:f>
              <c:numCache>
                <c:formatCode>#,##0.00</c:formatCode>
                <c:ptCount val="11"/>
                <c:pt idx="0">
                  <c:v>7.2126099110082656E-5</c:v>
                </c:pt>
                <c:pt idx="1">
                  <c:v>7.2770019173553718E-2</c:v>
                </c:pt>
                <c:pt idx="2">
                  <c:v>0.1468291676033058</c:v>
                </c:pt>
                <c:pt idx="3">
                  <c:v>0.2221774452892562</c:v>
                </c:pt>
                <c:pt idx="4">
                  <c:v>0.29881485223140497</c:v>
                </c:pt>
                <c:pt idx="5">
                  <c:v>0.37674138842975208</c:v>
                </c:pt>
                <c:pt idx="6">
                  <c:v>0.45595705388429753</c:v>
                </c:pt>
                <c:pt idx="7">
                  <c:v>0.53646184859504142</c:v>
                </c:pt>
                <c:pt idx="8">
                  <c:v>0.6182557725619835</c:v>
                </c:pt>
                <c:pt idx="9">
                  <c:v>0.70133882578512408</c:v>
                </c:pt>
                <c:pt idx="10">
                  <c:v>0.87137232000000098</c:v>
                </c:pt>
              </c:numCache>
            </c:numRef>
          </c:yVal>
          <c:smooth val="1"/>
        </c:ser>
        <c:ser>
          <c:idx val="4"/>
          <c:order val="3"/>
          <c:tx>
            <c:strRef>
              <c:f>Li!$A$42</c:f>
              <c:strCache>
                <c:ptCount val="1"/>
                <c:pt idx="0">
                  <c:v>2.5</c:v>
                </c:pt>
              </c:strCache>
            </c:strRef>
          </c:tx>
          <c:marker>
            <c:symbol val="none"/>
          </c:marker>
          <c:xVal>
            <c:numRef>
              <c:f>Li!$DM$42:$DM$53</c:f>
              <c:numCache>
                <c:formatCode>0.0000</c:formatCode>
                <c:ptCount val="12"/>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pt idx="11">
                  <c:v>1.6E-2</c:v>
                </c:pt>
              </c:numCache>
            </c:numRef>
          </c:xVal>
          <c:yVal>
            <c:numRef>
              <c:f>Li!$DU$42:$DU$53</c:f>
              <c:numCache>
                <c:formatCode>#,##0.00</c:formatCode>
                <c:ptCount val="12"/>
                <c:pt idx="0">
                  <c:v>4.9973480447603316E-5</c:v>
                </c:pt>
                <c:pt idx="1">
                  <c:v>5.108917487603306E-2</c:v>
                </c:pt>
                <c:pt idx="2">
                  <c:v>0.10441197223140497</c:v>
                </c:pt>
                <c:pt idx="3">
                  <c:v>0.15996839206611571</c:v>
                </c:pt>
                <c:pt idx="4">
                  <c:v>0.21775843438016532</c:v>
                </c:pt>
                <c:pt idx="5">
                  <c:v>0.27778209917355373</c:v>
                </c:pt>
                <c:pt idx="6">
                  <c:v>0.34003938644628101</c:v>
                </c:pt>
                <c:pt idx="7">
                  <c:v>0.40453029619834718</c:v>
                </c:pt>
                <c:pt idx="8">
                  <c:v>0.47125482842975214</c:v>
                </c:pt>
                <c:pt idx="9">
                  <c:v>0.54021298314049593</c:v>
                </c:pt>
                <c:pt idx="10">
                  <c:v>0.68483016000000085</c:v>
                </c:pt>
                <c:pt idx="11">
                  <c:v>0.80472575999999996</c:v>
                </c:pt>
              </c:numCache>
            </c:numRef>
          </c:yVal>
          <c:smooth val="1"/>
        </c:ser>
        <c:ser>
          <c:idx val="5"/>
          <c:order val="4"/>
          <c:tx>
            <c:strRef>
              <c:f>Li!$A$54</c:f>
              <c:strCache>
                <c:ptCount val="1"/>
                <c:pt idx="0">
                  <c:v>3.17</c:v>
                </c:pt>
              </c:strCache>
            </c:strRef>
          </c:tx>
          <c:marker>
            <c:symbol val="none"/>
          </c:marker>
          <c:xVal>
            <c:numRef>
              <c:f>Li!$DM$54:$DM$65</c:f>
              <c:numCache>
                <c:formatCode>0.0000</c:formatCode>
                <c:ptCount val="12"/>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pt idx="11">
                  <c:v>1.6E-2</c:v>
                </c:pt>
              </c:numCache>
            </c:numRef>
          </c:xVal>
          <c:yVal>
            <c:numRef>
              <c:f>Li!$DU$54:$DU$65</c:f>
              <c:numCache>
                <c:formatCode>#,##0.00</c:formatCode>
                <c:ptCount val="12"/>
                <c:pt idx="0">
                  <c:v>4.220862842347107E-5</c:v>
                </c:pt>
                <c:pt idx="1">
                  <c:v>4.3381332561983468E-2</c:v>
                </c:pt>
                <c:pt idx="2">
                  <c:v>8.9110421157024791E-2</c:v>
                </c:pt>
                <c:pt idx="3">
                  <c:v>0.13718726578512394</c:v>
                </c:pt>
                <c:pt idx="4">
                  <c:v>0.18761186644628097</c:v>
                </c:pt>
                <c:pt idx="5">
                  <c:v>0.24038422314049585</c:v>
                </c:pt>
                <c:pt idx="6">
                  <c:v>0.29550433586776859</c:v>
                </c:pt>
                <c:pt idx="7">
                  <c:v>0.3529722046280992</c:v>
                </c:pt>
                <c:pt idx="8">
                  <c:v>0.41278782942148762</c:v>
                </c:pt>
                <c:pt idx="9">
                  <c:v>0.47495121024793385</c:v>
                </c:pt>
                <c:pt idx="10">
                  <c:v>0.60632124000000065</c:v>
                </c:pt>
                <c:pt idx="11">
                  <c:v>0.71612863999999998</c:v>
                </c:pt>
              </c:numCache>
            </c:numRef>
          </c:yVal>
          <c:smooth val="1"/>
        </c:ser>
        <c:dLbls>
          <c:showLegendKey val="0"/>
          <c:showVal val="0"/>
          <c:showCatName val="0"/>
          <c:showSerName val="0"/>
          <c:showPercent val="0"/>
          <c:showBubbleSize val="0"/>
        </c:dLbls>
        <c:axId val="146228352"/>
        <c:axId val="146230272"/>
      </c:scatterChart>
      <c:valAx>
        <c:axId val="146228352"/>
        <c:scaling>
          <c:orientation val="minMax"/>
          <c:max val="1.6000000000000004E-2"/>
        </c:scaling>
        <c:delete val="0"/>
        <c:axPos val="b"/>
        <c:majorGridlines/>
        <c:title>
          <c:tx>
            <c:rich>
              <a:bodyPr/>
              <a:lstStyle/>
              <a:p>
                <a:pPr>
                  <a:defRPr/>
                </a:pPr>
                <a:r>
                  <a:rPr lang="en-US">
                    <a:latin typeface="Symbol" pitchFamily="18" charset="2"/>
                  </a:rPr>
                  <a:t>m</a:t>
                </a:r>
                <a:r>
                  <a:rPr lang="en-US" baseline="-25000"/>
                  <a:t>s</a:t>
                </a:r>
                <a:r>
                  <a:rPr lang="en-US"/>
                  <a:t>(m/s)</a:t>
                </a:r>
              </a:p>
            </c:rich>
          </c:tx>
          <c:overlay val="0"/>
        </c:title>
        <c:numFmt formatCode="0.0000" sourceLinked="1"/>
        <c:majorTickMark val="none"/>
        <c:minorTickMark val="none"/>
        <c:tickLblPos val="nextTo"/>
        <c:crossAx val="146230272"/>
        <c:crosses val="autoZero"/>
        <c:crossBetween val="midCat"/>
        <c:majorUnit val="2.0000000000000005E-3"/>
      </c:valAx>
      <c:valAx>
        <c:axId val="146230272"/>
        <c:scaling>
          <c:orientation val="minMax"/>
          <c:max val="1.2"/>
          <c:min val="0"/>
        </c:scaling>
        <c:delete val="0"/>
        <c:axPos val="l"/>
        <c:majorGridlines/>
        <c:title>
          <c:tx>
            <c:rich>
              <a:bodyPr rot="0" vert="horz"/>
              <a:lstStyle/>
              <a:p>
                <a:pPr>
                  <a:defRPr/>
                </a:pPr>
                <a:r>
                  <a:rPr lang="en-US">
                    <a:latin typeface="Symbol" pitchFamily="18" charset="2"/>
                  </a:rPr>
                  <a:t>D</a:t>
                </a:r>
                <a:r>
                  <a:rPr lang="en-US"/>
                  <a:t>P</a:t>
                </a:r>
              </a:p>
              <a:p>
                <a:pPr>
                  <a:defRPr/>
                </a:pPr>
                <a:r>
                  <a:rPr lang="en-US"/>
                  <a:t>(kPa)</a:t>
                </a:r>
              </a:p>
            </c:rich>
          </c:tx>
          <c:overlay val="0"/>
        </c:title>
        <c:numFmt formatCode="#,##0.00" sourceLinked="1"/>
        <c:majorTickMark val="none"/>
        <c:minorTickMark val="none"/>
        <c:tickLblPos val="nextTo"/>
        <c:crossAx val="146228352"/>
        <c:crosses val="autoZero"/>
        <c:crossBetween val="midCat"/>
        <c:majorUnit val="0.2"/>
      </c:valAx>
    </c:plotArea>
    <c:legend>
      <c:legendPos val="b"/>
      <c:layout>
        <c:manualLayout>
          <c:xMode val="edge"/>
          <c:yMode val="edge"/>
          <c:x val="1.2393475680812598E-2"/>
          <c:y val="0.94410696562735452"/>
          <c:w val="0.97166694984266644"/>
          <c:h val="5.357217586698227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1 QFFM</a:t>
            </a:r>
            <a:r>
              <a:rPr lang="en-US" baseline="0"/>
              <a:t> Corrected</a:t>
            </a:r>
            <a:endParaRPr lang="en-US"/>
          </a:p>
        </c:rich>
      </c:tx>
      <c:overlay val="0"/>
    </c:title>
    <c:autoTitleDeleted val="0"/>
    <c:plotArea>
      <c:layout/>
      <c:scatterChart>
        <c:scatterStyle val="smoothMarker"/>
        <c:varyColors val="0"/>
        <c:ser>
          <c:idx val="0"/>
          <c:order val="0"/>
          <c:tx>
            <c:strRef>
              <c:f>Li!$A$6</c:f>
              <c:strCache>
                <c:ptCount val="1"/>
                <c:pt idx="0">
                  <c:v>1.075</c:v>
                </c:pt>
              </c:strCache>
            </c:strRef>
          </c:tx>
          <c:marker>
            <c:symbol val="none"/>
          </c:marker>
          <c:xVal>
            <c:numRef>
              <c:f>[QFFM.xlsx]Li!$DM$6:$DQ$14</c:f>
              <c:numCache>
                <c:formatCode>0.0000</c:formatCode>
                <c:ptCount val="9"/>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numCache>
            </c:numRef>
          </c:xVal>
          <c:yVal>
            <c:numRef>
              <c:f>Li!$DS$6:$DS$14</c:f>
              <c:numCache>
                <c:formatCode>#,##0.00</c:formatCode>
                <c:ptCount val="9"/>
                <c:pt idx="0">
                  <c:v>1.1837688226518767E-4</c:v>
                </c:pt>
                <c:pt idx="1">
                  <c:v>0.12106059161759074</c:v>
                </c:pt>
                <c:pt idx="2">
                  <c:v>0.24749397472762497</c:v>
                </c:pt>
                <c:pt idx="3">
                  <c:v>0.37930014932455908</c:v>
                </c:pt>
                <c:pt idx="4">
                  <c:v>0.51647911540315861</c:v>
                </c:pt>
                <c:pt idx="5">
                  <c:v>0.65903087295847307</c:v>
                </c:pt>
                <c:pt idx="6">
                  <c:v>0.80695542198581449</c:v>
                </c:pt>
                <c:pt idx="7">
                  <c:v>0.96025276248073677</c:v>
                </c:pt>
                <c:pt idx="8">
                  <c:v>1.1189228944390186</c:v>
                </c:pt>
              </c:numCache>
            </c:numRef>
          </c:yVal>
          <c:smooth val="1"/>
        </c:ser>
        <c:ser>
          <c:idx val="2"/>
          <c:order val="1"/>
          <c:tx>
            <c:strRef>
              <c:f>Li!$A$18</c:f>
              <c:strCache>
                <c:ptCount val="1"/>
                <c:pt idx="0">
                  <c:v>1.475</c:v>
                </c:pt>
              </c:strCache>
            </c:strRef>
          </c:tx>
          <c:marker>
            <c:symbol val="none"/>
          </c:marker>
          <c:xVal>
            <c:numRef>
              <c:f>Li!$DM$18:$DM$28</c:f>
              <c:numCache>
                <c:formatCode>0.0000</c:formatCode>
                <c:ptCount val="11"/>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numCache>
            </c:numRef>
          </c:xVal>
          <c:yVal>
            <c:numRef>
              <c:f>Li!$DS$18:$DS$28</c:f>
              <c:numCache>
                <c:formatCode>#,##0.00</c:formatCode>
                <c:ptCount val="11"/>
                <c:pt idx="0">
                  <c:v>6.8488656253515369E-5</c:v>
                </c:pt>
                <c:pt idx="1">
                  <c:v>7.0694736264993244E-2</c:v>
                </c:pt>
                <c:pt idx="2">
                  <c:v>0.1458060491188812</c:v>
                </c:pt>
                <c:pt idx="3">
                  <c:v>0.22533393854661474</c:v>
                </c:pt>
                <c:pt idx="4">
                  <c:v>0.30927840453429806</c:v>
                </c:pt>
                <c:pt idx="5">
                  <c:v>0.39763944706906323</c:v>
                </c:pt>
                <c:pt idx="6">
                  <c:v>0.49041706613896147</c:v>
                </c:pt>
                <c:pt idx="7">
                  <c:v>0.58761126173286915</c:v>
                </c:pt>
                <c:pt idx="8">
                  <c:v>0.68922203384040603</c:v>
                </c:pt>
                <c:pt idx="9">
                  <c:v>0.79524938245186416</c:v>
                </c:pt>
                <c:pt idx="10">
                  <c:v>1.0205538091506978</c:v>
                </c:pt>
              </c:numCache>
            </c:numRef>
          </c:yVal>
          <c:smooth val="1"/>
        </c:ser>
        <c:ser>
          <c:idx val="3"/>
          <c:order val="2"/>
          <c:tx>
            <c:strRef>
              <c:f>Li!$A$30</c:f>
              <c:strCache>
                <c:ptCount val="1"/>
                <c:pt idx="0">
                  <c:v>1.85</c:v>
                </c:pt>
              </c:strCache>
            </c:strRef>
          </c:tx>
          <c:marker>
            <c:symbol val="none"/>
          </c:marker>
          <c:xVal>
            <c:numRef>
              <c:f>Li!$DM$30:$DM$40</c:f>
              <c:numCache>
                <c:formatCode>0.0000</c:formatCode>
                <c:ptCount val="11"/>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numCache>
            </c:numRef>
          </c:xVal>
          <c:yVal>
            <c:numRef>
              <c:f>Li!$DS$30:$DS$40</c:f>
              <c:numCache>
                <c:formatCode>#,##0.00</c:formatCode>
                <c:ptCount val="11"/>
                <c:pt idx="0">
                  <c:v>5.1298562048312137E-5</c:v>
                </c:pt>
                <c:pt idx="1">
                  <c:v>5.3609245518258304E-2</c:v>
                </c:pt>
                <c:pt idx="2">
                  <c:v>0.11184448394230134</c:v>
                </c:pt>
                <c:pt idx="3">
                  <c:v>0.1747057152348146</c:v>
                </c:pt>
                <c:pt idx="4">
                  <c:v>0.24219293936231578</c:v>
                </c:pt>
                <c:pt idx="5">
                  <c:v>0.31430615629460118</c:v>
                </c:pt>
                <c:pt idx="6">
                  <c:v>0.39104536600429018</c:v>
                </c:pt>
                <c:pt idx="7">
                  <c:v>0.47241056846645024</c:v>
                </c:pt>
                <c:pt idx="8">
                  <c:v>0.55840176365828231</c:v>
                </c:pt>
                <c:pt idx="9">
                  <c:v>0.64901895155885869</c:v>
                </c:pt>
                <c:pt idx="10">
                  <c:v>0.84413130541058534</c:v>
                </c:pt>
              </c:numCache>
            </c:numRef>
          </c:yVal>
          <c:smooth val="1"/>
        </c:ser>
        <c:ser>
          <c:idx val="4"/>
          <c:order val="3"/>
          <c:tx>
            <c:strRef>
              <c:f>Li!$A$42</c:f>
              <c:strCache>
                <c:ptCount val="1"/>
                <c:pt idx="0">
                  <c:v>2.5</c:v>
                </c:pt>
              </c:strCache>
            </c:strRef>
          </c:tx>
          <c:marker>
            <c:symbol val="none"/>
          </c:marker>
          <c:xVal>
            <c:numRef>
              <c:f>Li!$DM$42:$DM$53</c:f>
              <c:numCache>
                <c:formatCode>0.0000</c:formatCode>
                <c:ptCount val="12"/>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pt idx="11">
                  <c:v>1.6E-2</c:v>
                </c:pt>
              </c:numCache>
            </c:numRef>
          </c:xVal>
          <c:yVal>
            <c:numRef>
              <c:f>Li!$DS$42:$DS$53</c:f>
              <c:numCache>
                <c:formatCode>#,##0.00</c:formatCode>
                <c:ptCount val="12"/>
                <c:pt idx="0">
                  <c:v>3.4266126355418953E-5</c:v>
                </c:pt>
                <c:pt idx="1">
                  <c:v>3.6600432365367724E-2</c:v>
                </c:pt>
                <c:pt idx="2">
                  <c:v>7.7874149951703331E-2</c:v>
                </c:pt>
                <c:pt idx="3">
                  <c:v>0.12382115264718177</c:v>
                </c:pt>
                <c:pt idx="4">
                  <c:v>0.17444144035613451</c:v>
                </c:pt>
                <c:pt idx="5">
                  <c:v>0.22973501299580923</c:v>
                </c:pt>
                <c:pt idx="6">
                  <c:v>0.28970187049392554</c:v>
                </c:pt>
                <c:pt idx="7">
                  <c:v>0.35434201278679939</c:v>
                </c:pt>
                <c:pt idx="8">
                  <c:v>0.42365543981788423</c:v>
                </c:pt>
                <c:pt idx="9">
                  <c:v>0.49764215153661845</c:v>
                </c:pt>
                <c:pt idx="10">
                  <c:v>0.65963542885937898</c:v>
                </c:pt>
                <c:pt idx="11">
                  <c:v>0.8000296697818694</c:v>
                </c:pt>
              </c:numCache>
            </c:numRef>
          </c:yVal>
          <c:smooth val="1"/>
        </c:ser>
        <c:ser>
          <c:idx val="5"/>
          <c:order val="4"/>
          <c:tx>
            <c:strRef>
              <c:f>Li!$A$54</c:f>
              <c:strCache>
                <c:ptCount val="1"/>
                <c:pt idx="0">
                  <c:v>3.17</c:v>
                </c:pt>
              </c:strCache>
            </c:strRef>
          </c:tx>
          <c:marker>
            <c:symbol val="none"/>
          </c:marker>
          <c:xVal>
            <c:numRef>
              <c:f>Li!$DM$54:$DM$65</c:f>
              <c:numCache>
                <c:formatCode>0.0000</c:formatCode>
                <c:ptCount val="12"/>
                <c:pt idx="0">
                  <c:v>1.2727272727272728E-6</c:v>
                </c:pt>
                <c:pt idx="1">
                  <c:v>1.2727272727272728E-3</c:v>
                </c:pt>
                <c:pt idx="2">
                  <c:v>2.5454545454545456E-3</c:v>
                </c:pt>
                <c:pt idx="3">
                  <c:v>3.8181818181818182E-3</c:v>
                </c:pt>
                <c:pt idx="4">
                  <c:v>5.0909090909090913E-3</c:v>
                </c:pt>
                <c:pt idx="5">
                  <c:v>6.3636363636363638E-3</c:v>
                </c:pt>
                <c:pt idx="6">
                  <c:v>7.6363636363636364E-3</c:v>
                </c:pt>
                <c:pt idx="7">
                  <c:v>8.9090909090909099E-3</c:v>
                </c:pt>
                <c:pt idx="8">
                  <c:v>1.0181818181818183E-2</c:v>
                </c:pt>
                <c:pt idx="9">
                  <c:v>1.1454545454545455E-2</c:v>
                </c:pt>
                <c:pt idx="10">
                  <c:v>1.4000000000000014E-2</c:v>
                </c:pt>
                <c:pt idx="11">
                  <c:v>1.6E-2</c:v>
                </c:pt>
              </c:numCache>
            </c:numRef>
          </c:xVal>
          <c:yVal>
            <c:numRef>
              <c:f>Li!$DS$54:$DS$65</c:f>
              <c:numCache>
                <c:formatCode>#,##0.00</c:formatCode>
                <c:ptCount val="12"/>
                <c:pt idx="0">
                  <c:v>2.4877282409458824E-5</c:v>
                </c:pt>
                <c:pt idx="1">
                  <c:v>2.7456644839766488E-2</c:v>
                </c:pt>
                <c:pt idx="2">
                  <c:v>6.0077178172391797E-2</c:v>
                </c:pt>
                <c:pt idx="3">
                  <c:v>9.7861599675549707E-2</c:v>
                </c:pt>
                <c:pt idx="4">
                  <c:v>0.14080990909088689</c:v>
                </c:pt>
                <c:pt idx="5">
                  <c:v>0.18892210620670466</c:v>
                </c:pt>
                <c:pt idx="6">
                  <c:v>0.2421981908462878</c:v>
                </c:pt>
                <c:pt idx="7">
                  <c:v>0.3006381628597809</c:v>
                </c:pt>
                <c:pt idx="8">
                  <c:v>0.36424202211837492</c:v>
                </c:pt>
                <c:pt idx="9">
                  <c:v>0.43300976851004613</c:v>
                </c:pt>
                <c:pt idx="10">
                  <c:v>0.58603692231007709</c:v>
                </c:pt>
                <c:pt idx="11">
                  <c:v>0.72076304205516639</c:v>
                </c:pt>
              </c:numCache>
            </c:numRef>
          </c:yVal>
          <c:smooth val="1"/>
        </c:ser>
        <c:dLbls>
          <c:showLegendKey val="0"/>
          <c:showVal val="0"/>
          <c:showCatName val="0"/>
          <c:showSerName val="0"/>
          <c:showPercent val="0"/>
          <c:showBubbleSize val="0"/>
        </c:dLbls>
        <c:axId val="146532992"/>
        <c:axId val="146535168"/>
      </c:scatterChart>
      <c:valAx>
        <c:axId val="146532992"/>
        <c:scaling>
          <c:orientation val="minMax"/>
          <c:max val="1.6000000000000004E-2"/>
        </c:scaling>
        <c:delete val="0"/>
        <c:axPos val="b"/>
        <c:majorGridlines/>
        <c:title>
          <c:tx>
            <c:rich>
              <a:bodyPr/>
              <a:lstStyle/>
              <a:p>
                <a:pPr>
                  <a:defRPr/>
                </a:pPr>
                <a:r>
                  <a:rPr lang="en-US">
                    <a:latin typeface="Symbol" pitchFamily="18" charset="2"/>
                  </a:rPr>
                  <a:t>m</a:t>
                </a:r>
                <a:r>
                  <a:rPr lang="en-US" baseline="-25000"/>
                  <a:t>s</a:t>
                </a:r>
                <a:r>
                  <a:rPr lang="en-US"/>
                  <a:t>(m/s)</a:t>
                </a:r>
              </a:p>
            </c:rich>
          </c:tx>
          <c:overlay val="0"/>
        </c:title>
        <c:numFmt formatCode="0.0000" sourceLinked="1"/>
        <c:majorTickMark val="none"/>
        <c:minorTickMark val="none"/>
        <c:tickLblPos val="nextTo"/>
        <c:crossAx val="146535168"/>
        <c:crosses val="autoZero"/>
        <c:crossBetween val="midCat"/>
        <c:majorUnit val="2.0000000000000005E-3"/>
      </c:valAx>
      <c:valAx>
        <c:axId val="146535168"/>
        <c:scaling>
          <c:orientation val="minMax"/>
          <c:max val="1.2"/>
          <c:min val="0"/>
        </c:scaling>
        <c:delete val="0"/>
        <c:axPos val="l"/>
        <c:majorGridlines/>
        <c:title>
          <c:tx>
            <c:rich>
              <a:bodyPr rot="0" vert="horz"/>
              <a:lstStyle/>
              <a:p>
                <a:pPr>
                  <a:defRPr/>
                </a:pPr>
                <a:r>
                  <a:rPr lang="en-US">
                    <a:latin typeface="Symbol" pitchFamily="18" charset="2"/>
                  </a:rPr>
                  <a:t>D</a:t>
                </a:r>
                <a:r>
                  <a:rPr lang="en-US"/>
                  <a:t>P</a:t>
                </a:r>
              </a:p>
              <a:p>
                <a:pPr>
                  <a:defRPr/>
                </a:pPr>
                <a:r>
                  <a:rPr lang="en-US"/>
                  <a:t>(kPa)</a:t>
                </a:r>
              </a:p>
            </c:rich>
          </c:tx>
          <c:overlay val="0"/>
        </c:title>
        <c:numFmt formatCode="#,##0.00" sourceLinked="1"/>
        <c:majorTickMark val="none"/>
        <c:minorTickMark val="none"/>
        <c:tickLblPos val="nextTo"/>
        <c:crossAx val="146532992"/>
        <c:crosses val="autoZero"/>
        <c:crossBetween val="midCat"/>
        <c:majorUnit val="0.2"/>
      </c:valAx>
    </c:plotArea>
    <c:legend>
      <c:legendPos val="b"/>
      <c:layout>
        <c:manualLayout>
          <c:xMode val="edge"/>
          <c:yMode val="edge"/>
          <c:x val="1.2393475680812598E-2"/>
          <c:y val="0.94410696562735452"/>
          <c:w val="0.97166694984266644"/>
          <c:h val="5.3572175866982277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19047-6C92-4F80-A27A-88ADB9DC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2</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2017-06-14T19:36:00Z</dcterms:created>
  <dcterms:modified xsi:type="dcterms:W3CDTF">2017-06-14T19:36:00Z</dcterms:modified>
</cp:coreProperties>
</file>