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1357FA" w:rsidRDefault="002554AD" w:rsidP="001357FA">
      <w:pPr>
        <w:pStyle w:val="Body"/>
        <w:jc w:val="center"/>
        <w:rPr>
          <w:b/>
          <w:sz w:val="28"/>
          <w:szCs w:val="28"/>
        </w:rPr>
      </w:pPr>
      <w:bookmarkStart w:id="0" w:name="_GoBack"/>
      <w:bookmarkEnd w:id="0"/>
      <w:r w:rsidRPr="001357FA">
        <w:rPr>
          <w:b/>
          <w:sz w:val="28"/>
          <w:szCs w:val="28"/>
        </w:rPr>
        <w:t xml:space="preserve"> </w:t>
      </w:r>
      <w:r w:rsidR="001C2B61" w:rsidRPr="001357FA">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1357FA" w:rsidRDefault="00E476DF" w:rsidP="00E476DF">
      <w:pPr>
        <w:pStyle w:val="5FigureCaption"/>
        <w:jc w:val="left"/>
        <w:rPr>
          <w:b w:val="0"/>
          <w:sz w:val="22"/>
        </w:rPr>
      </w:pPr>
      <w:r w:rsidRPr="001357FA">
        <w:rPr>
          <w:b w:val="0"/>
          <w:sz w:val="22"/>
        </w:rPr>
        <w:t xml:space="preserve">The Quinn Fluid Flow Model (QFFM) is a totally new and novel theory of fluid dynamics in closed conduits. </w:t>
      </w:r>
      <w:r w:rsidR="005A2CB7" w:rsidRPr="001357FA">
        <w:rPr>
          <w:b w:val="0"/>
          <w:sz w:val="22"/>
        </w:rPr>
        <w:t xml:space="preserve">The underlying intellectual property is owned by The Wrangler Group LLC (TWG). </w:t>
      </w:r>
      <w:r w:rsidRPr="001357FA">
        <w:rPr>
          <w:b w:val="0"/>
          <w:sz w:val="22"/>
        </w:rPr>
        <w:t xml:space="preserve">It has been developed from first principles </w:t>
      </w:r>
      <w:r w:rsidR="0001294D" w:rsidRPr="001357FA">
        <w:rPr>
          <w:b w:val="0"/>
          <w:sz w:val="22"/>
        </w:rPr>
        <w:t>and applies</w:t>
      </w:r>
      <w:r w:rsidR="00CB7B9E" w:rsidRPr="001357FA">
        <w:rPr>
          <w:b w:val="0"/>
          <w:sz w:val="22"/>
        </w:rPr>
        <w:t xml:space="preserve"> to fluid flow in</w:t>
      </w:r>
      <w:r w:rsidR="000A3B2F" w:rsidRPr="001357FA">
        <w:rPr>
          <w:b w:val="0"/>
          <w:sz w:val="22"/>
        </w:rPr>
        <w:t xml:space="preserve"> both packed and empty conduits across the enti</w:t>
      </w:r>
      <w:r w:rsidR="00D31824" w:rsidRPr="001357FA">
        <w:rPr>
          <w:b w:val="0"/>
          <w:sz w:val="22"/>
        </w:rPr>
        <w:t xml:space="preserve">re fluid flow regime including </w:t>
      </w:r>
      <w:r w:rsidR="00D31824" w:rsidRPr="001357FA">
        <w:rPr>
          <w:b w:val="0"/>
          <w:sz w:val="22"/>
          <w:u w:val="single"/>
        </w:rPr>
        <w:t>laminar</w:t>
      </w:r>
      <w:r w:rsidR="00D31824" w:rsidRPr="001357FA">
        <w:rPr>
          <w:b w:val="0"/>
          <w:sz w:val="22"/>
        </w:rPr>
        <w:t xml:space="preserve">, </w:t>
      </w:r>
      <w:r w:rsidR="00D31824" w:rsidRPr="001357FA">
        <w:rPr>
          <w:b w:val="0"/>
          <w:sz w:val="22"/>
          <w:u w:val="single"/>
        </w:rPr>
        <w:t>transitional</w:t>
      </w:r>
      <w:r w:rsidR="00D31824" w:rsidRPr="001357FA">
        <w:rPr>
          <w:b w:val="0"/>
          <w:sz w:val="22"/>
        </w:rPr>
        <w:t xml:space="preserve"> and</w:t>
      </w:r>
      <w:r w:rsidR="00D31824" w:rsidRPr="001357FA">
        <w:rPr>
          <w:b w:val="0"/>
          <w:sz w:val="22"/>
          <w:u w:val="single"/>
        </w:rPr>
        <w:t xml:space="preserve"> t</w:t>
      </w:r>
      <w:r w:rsidR="000A3B2F" w:rsidRPr="001357FA">
        <w:rPr>
          <w:b w:val="0"/>
          <w:sz w:val="22"/>
          <w:u w:val="single"/>
        </w:rPr>
        <w:t>urbulent</w:t>
      </w:r>
      <w:r w:rsidR="000A3B2F" w:rsidRPr="001357FA">
        <w:rPr>
          <w:b w:val="0"/>
          <w:sz w:val="22"/>
        </w:rPr>
        <w:t>.</w:t>
      </w:r>
      <w:r w:rsidRPr="001357FA">
        <w:rPr>
          <w:b w:val="0"/>
          <w:sz w:val="22"/>
        </w:rPr>
        <w:t xml:space="preserve"> </w:t>
      </w:r>
      <w:r w:rsidR="00CB7B9E" w:rsidRPr="001357FA">
        <w:rPr>
          <w:b w:val="0"/>
          <w:sz w:val="22"/>
        </w:rPr>
        <w:t xml:space="preserve">The model has been validated by applying it to </w:t>
      </w:r>
      <w:r w:rsidRPr="001357FA">
        <w:rPr>
          <w:b w:val="0"/>
          <w:sz w:val="22"/>
        </w:rPr>
        <w:t>classic studies in both categories of flow embodiments</w:t>
      </w:r>
      <w:r w:rsidR="0068474E" w:rsidRPr="001357FA">
        <w:rPr>
          <w:b w:val="0"/>
          <w:sz w:val="22"/>
        </w:rPr>
        <w:t xml:space="preserve"> </w:t>
      </w:r>
      <w:r w:rsidR="009A6C6E" w:rsidRPr="001357FA">
        <w:rPr>
          <w:b w:val="0"/>
          <w:sz w:val="22"/>
        </w:rPr>
        <w:t>and, in each case, to</w:t>
      </w:r>
      <w:r w:rsidR="0068474E" w:rsidRPr="001357FA">
        <w:rPr>
          <w:b w:val="0"/>
          <w:sz w:val="22"/>
        </w:rPr>
        <w:t xml:space="preserve"> studies in all fluid flow regimes.</w:t>
      </w:r>
    </w:p>
    <w:p w14:paraId="1DADEF80" w14:textId="77777777" w:rsidR="00646C3F" w:rsidRPr="001357FA" w:rsidRDefault="00921B1E" w:rsidP="00E476DF">
      <w:pPr>
        <w:pStyle w:val="5FigureCaption"/>
        <w:jc w:val="left"/>
        <w:rPr>
          <w:b w:val="0"/>
          <w:sz w:val="22"/>
        </w:rPr>
      </w:pPr>
      <w:r w:rsidRPr="001357FA">
        <w:rPr>
          <w:b w:val="0"/>
          <w:sz w:val="22"/>
        </w:rPr>
        <w:t xml:space="preserve">The QFFM </w:t>
      </w:r>
      <w:r w:rsidR="00CB7B9E" w:rsidRPr="001357FA">
        <w:rPr>
          <w:b w:val="0"/>
          <w:sz w:val="22"/>
        </w:rPr>
        <w:t xml:space="preserve">can be </w:t>
      </w:r>
      <w:r w:rsidR="0001294D" w:rsidRPr="001357FA">
        <w:rPr>
          <w:b w:val="0"/>
          <w:sz w:val="22"/>
        </w:rPr>
        <w:t>expressed in</w:t>
      </w:r>
      <w:r w:rsidRPr="001357FA">
        <w:rPr>
          <w:b w:val="0"/>
          <w:sz w:val="22"/>
        </w:rPr>
        <w:t xml:space="preserve"> two formats</w:t>
      </w:r>
      <w:r w:rsidR="00CB7B9E" w:rsidRPr="001357FA">
        <w:rPr>
          <w:b w:val="0"/>
          <w:sz w:val="22"/>
        </w:rPr>
        <w:t>.</w:t>
      </w:r>
      <w:r w:rsidRPr="001357FA">
        <w:rPr>
          <w:b w:val="0"/>
          <w:sz w:val="22"/>
        </w:rPr>
        <w:t xml:space="preserve"> </w:t>
      </w:r>
      <w:r w:rsidR="00CB7B9E" w:rsidRPr="001357FA">
        <w:rPr>
          <w:b w:val="0"/>
          <w:sz w:val="22"/>
        </w:rPr>
        <w:t xml:space="preserve">The first format is </w:t>
      </w:r>
      <w:r w:rsidRPr="001357FA">
        <w:rPr>
          <w:b w:val="0"/>
          <w:sz w:val="22"/>
        </w:rPr>
        <w:t xml:space="preserve">a </w:t>
      </w:r>
      <w:r w:rsidRPr="001357FA">
        <w:rPr>
          <w:b w:val="0"/>
          <w:sz w:val="22"/>
          <w:u w:val="single"/>
        </w:rPr>
        <w:t>dimensional manifestation</w:t>
      </w:r>
      <w:r w:rsidRPr="001357FA">
        <w:rPr>
          <w:b w:val="0"/>
          <w:sz w:val="22"/>
        </w:rPr>
        <w:t xml:space="preserve"> in which </w:t>
      </w:r>
      <w:r w:rsidR="00DF4BAD" w:rsidRPr="001357FA">
        <w:rPr>
          <w:b w:val="0"/>
          <w:sz w:val="22"/>
        </w:rPr>
        <w:t>the</w:t>
      </w:r>
      <w:r w:rsidR="00CB7B9E" w:rsidRPr="001357FA">
        <w:rPr>
          <w:b w:val="0"/>
          <w:sz w:val="22"/>
        </w:rPr>
        <w:t xml:space="preserve"> measured </w:t>
      </w:r>
      <w:r w:rsidRPr="001357FA">
        <w:rPr>
          <w:b w:val="0"/>
          <w:sz w:val="22"/>
        </w:rPr>
        <w:t xml:space="preserve">differential pressure across the ends of a conduit </w:t>
      </w:r>
      <w:r w:rsidR="0001294D" w:rsidRPr="001357FA">
        <w:rPr>
          <w:b w:val="0"/>
          <w:sz w:val="22"/>
        </w:rPr>
        <w:t>is compared</w:t>
      </w:r>
      <w:r w:rsidR="00CB7B9E" w:rsidRPr="001357FA">
        <w:rPr>
          <w:b w:val="0"/>
          <w:sz w:val="22"/>
        </w:rPr>
        <w:t xml:space="preserve"> to</w:t>
      </w:r>
      <w:r w:rsidRPr="001357FA">
        <w:rPr>
          <w:b w:val="0"/>
          <w:sz w:val="22"/>
        </w:rPr>
        <w:t xml:space="preserve"> the</w:t>
      </w:r>
      <w:r w:rsidR="00CB7B9E" w:rsidRPr="001357FA">
        <w:rPr>
          <w:b w:val="0"/>
          <w:sz w:val="22"/>
        </w:rPr>
        <w:t xml:space="preserve"> measured</w:t>
      </w:r>
      <w:r w:rsidRPr="001357FA">
        <w:rPr>
          <w:b w:val="0"/>
          <w:sz w:val="22"/>
        </w:rPr>
        <w:t xml:space="preserve"> resultant flow rate of the </w:t>
      </w:r>
      <w:r w:rsidR="0001294D" w:rsidRPr="001357FA">
        <w:rPr>
          <w:b w:val="0"/>
          <w:sz w:val="22"/>
        </w:rPr>
        <w:t>fluid according</w:t>
      </w:r>
      <w:r w:rsidR="00DF4BAD" w:rsidRPr="001357FA">
        <w:rPr>
          <w:b w:val="0"/>
          <w:sz w:val="22"/>
        </w:rPr>
        <w:t xml:space="preserve"> to the relationships dictated by the model </w:t>
      </w:r>
      <w:r w:rsidR="0001294D" w:rsidRPr="001357FA">
        <w:rPr>
          <w:b w:val="0"/>
          <w:sz w:val="22"/>
        </w:rPr>
        <w:t>among the</w:t>
      </w:r>
      <w:r w:rsidRPr="001357FA">
        <w:rPr>
          <w:b w:val="0"/>
          <w:sz w:val="22"/>
        </w:rPr>
        <w:t xml:space="preserve"> many independent and dependent variables </w:t>
      </w:r>
      <w:r w:rsidR="0001294D" w:rsidRPr="001357FA">
        <w:rPr>
          <w:b w:val="0"/>
          <w:sz w:val="22"/>
        </w:rPr>
        <w:t>pertaining to</w:t>
      </w:r>
      <w:r w:rsidRPr="001357FA">
        <w:rPr>
          <w:b w:val="0"/>
          <w:sz w:val="22"/>
        </w:rPr>
        <w:t xml:space="preserve"> the physical fluid flow </w:t>
      </w:r>
      <w:r w:rsidR="0001294D" w:rsidRPr="001357FA">
        <w:rPr>
          <w:b w:val="0"/>
          <w:sz w:val="22"/>
        </w:rPr>
        <w:t>embodiment and</w:t>
      </w:r>
      <w:r w:rsidR="00DF4BAD" w:rsidRPr="001357FA">
        <w:rPr>
          <w:b w:val="0"/>
          <w:sz w:val="22"/>
        </w:rPr>
        <w:t xml:space="preserve"> pertaining to</w:t>
      </w:r>
      <w:r w:rsidRPr="001357FA">
        <w:rPr>
          <w:b w:val="0"/>
          <w:sz w:val="22"/>
        </w:rPr>
        <w:t xml:space="preserve"> the fluid </w:t>
      </w:r>
      <w:r w:rsidR="0001294D" w:rsidRPr="001357FA">
        <w:rPr>
          <w:b w:val="0"/>
          <w:sz w:val="22"/>
        </w:rPr>
        <w:t>itself. The</w:t>
      </w:r>
      <w:r w:rsidR="00DF4BAD" w:rsidRPr="001357FA">
        <w:rPr>
          <w:b w:val="0"/>
          <w:sz w:val="22"/>
        </w:rPr>
        <w:t xml:space="preserve"> second format is </w:t>
      </w:r>
      <w:r w:rsidRPr="001357FA">
        <w:rPr>
          <w:b w:val="0"/>
          <w:sz w:val="22"/>
        </w:rPr>
        <w:t xml:space="preserve">a </w:t>
      </w:r>
      <w:r w:rsidRPr="001357FA">
        <w:rPr>
          <w:b w:val="0"/>
          <w:sz w:val="22"/>
          <w:u w:val="single"/>
        </w:rPr>
        <w:t>dimensionless manifestation</w:t>
      </w:r>
      <w:r w:rsidR="001A0D5F" w:rsidRPr="001357FA">
        <w:rPr>
          <w:b w:val="0"/>
          <w:sz w:val="22"/>
          <w:u w:val="single"/>
        </w:rPr>
        <w:t>,</w:t>
      </w:r>
      <w:r w:rsidRPr="001357FA">
        <w:rPr>
          <w:b w:val="0"/>
          <w:sz w:val="22"/>
        </w:rPr>
        <w:t xml:space="preserve"> which we call Quinn’s Law</w:t>
      </w:r>
      <w:r w:rsidR="0001294D" w:rsidRPr="001357FA">
        <w:rPr>
          <w:b w:val="0"/>
          <w:sz w:val="22"/>
        </w:rPr>
        <w:t>, where</w:t>
      </w:r>
      <w:r w:rsidR="00DF4BAD" w:rsidRPr="001357FA">
        <w:rPr>
          <w:b w:val="0"/>
          <w:sz w:val="22"/>
        </w:rPr>
        <w:t xml:space="preserve"> </w:t>
      </w:r>
      <w:r w:rsidRPr="001357FA">
        <w:rPr>
          <w:b w:val="0"/>
          <w:sz w:val="22"/>
        </w:rPr>
        <w:t>all the</w:t>
      </w:r>
      <w:r w:rsidR="005A2CB7" w:rsidRPr="001357FA">
        <w:rPr>
          <w:b w:val="0"/>
          <w:sz w:val="22"/>
        </w:rPr>
        <w:t xml:space="preserve"> individual respective</w:t>
      </w:r>
      <w:r w:rsidRPr="001357FA">
        <w:rPr>
          <w:b w:val="0"/>
          <w:sz w:val="22"/>
        </w:rPr>
        <w:t xml:space="preserve"> contributions</w:t>
      </w:r>
      <w:r w:rsidR="00DF4BAD" w:rsidRPr="001357FA">
        <w:rPr>
          <w:b w:val="0"/>
          <w:sz w:val="22"/>
        </w:rPr>
        <w:t xml:space="preserve"> to the pressure drop/fluid flow </w:t>
      </w:r>
      <w:r w:rsidR="00232E16" w:rsidRPr="001357FA">
        <w:rPr>
          <w:b w:val="0"/>
          <w:sz w:val="22"/>
        </w:rPr>
        <w:t>relationship</w:t>
      </w:r>
      <w:r w:rsidRPr="001357FA">
        <w:rPr>
          <w:b w:val="0"/>
          <w:sz w:val="22"/>
        </w:rPr>
        <w:t xml:space="preserve"> have been </w:t>
      </w:r>
      <w:r w:rsidR="0001294D" w:rsidRPr="001357FA">
        <w:rPr>
          <w:b w:val="0"/>
          <w:sz w:val="22"/>
        </w:rPr>
        <w:t>normalized between</w:t>
      </w:r>
      <w:r w:rsidRPr="001357FA">
        <w:rPr>
          <w:b w:val="0"/>
          <w:sz w:val="22"/>
        </w:rPr>
        <w:t xml:space="preserve"> the</w:t>
      </w:r>
      <w:r w:rsidR="00DF4BAD" w:rsidRPr="001357FA">
        <w:rPr>
          <w:b w:val="0"/>
          <w:sz w:val="22"/>
        </w:rPr>
        <w:t xml:space="preserve"> model’s</w:t>
      </w:r>
      <w:r w:rsidRPr="001357FA">
        <w:rPr>
          <w:b w:val="0"/>
          <w:sz w:val="22"/>
        </w:rPr>
        <w:t xml:space="preserve"> two entities</w:t>
      </w:r>
      <w:r w:rsidR="001A0D5F" w:rsidRPr="001357FA">
        <w:rPr>
          <w:b w:val="0"/>
          <w:sz w:val="22"/>
        </w:rPr>
        <w:t>,</w:t>
      </w:r>
      <w:r w:rsidRPr="001357FA">
        <w:rPr>
          <w:b w:val="0"/>
          <w:sz w:val="22"/>
        </w:rPr>
        <w:t xml:space="preserve"> </w:t>
      </w:r>
      <w:r w:rsidR="00232E16" w:rsidRPr="001357FA">
        <w:rPr>
          <w:b w:val="0"/>
          <w:sz w:val="22"/>
        </w:rPr>
        <w:t xml:space="preserve">which we </w:t>
      </w:r>
      <w:r w:rsidR="0001294D" w:rsidRPr="001357FA">
        <w:rPr>
          <w:b w:val="0"/>
          <w:sz w:val="22"/>
        </w:rPr>
        <w:t>call the</w:t>
      </w:r>
      <w:r w:rsidRPr="001357FA">
        <w:rPr>
          <w:b w:val="0"/>
          <w:sz w:val="22"/>
        </w:rPr>
        <w:t xml:space="preserve"> </w:t>
      </w:r>
      <w:r w:rsidR="00232E16" w:rsidRPr="001357FA">
        <w:rPr>
          <w:b w:val="0"/>
          <w:sz w:val="22"/>
        </w:rPr>
        <w:t>“</w:t>
      </w:r>
      <w:r w:rsidRPr="001357FA">
        <w:rPr>
          <w:b w:val="0"/>
          <w:sz w:val="22"/>
        </w:rPr>
        <w:t xml:space="preserve">Quinn </w:t>
      </w:r>
      <w:r w:rsidR="00621ABD" w:rsidRPr="001357FA">
        <w:rPr>
          <w:b w:val="0"/>
          <w:sz w:val="22"/>
        </w:rPr>
        <w:t>reduced pressure</w:t>
      </w:r>
      <w:r w:rsidR="00232E16" w:rsidRPr="001357FA">
        <w:rPr>
          <w:b w:val="0"/>
          <w:sz w:val="22"/>
        </w:rPr>
        <w:t>”</w:t>
      </w:r>
      <w:r w:rsidRPr="001357FA">
        <w:rPr>
          <w:b w:val="0"/>
          <w:sz w:val="22"/>
        </w:rPr>
        <w:t xml:space="preserve"> </w:t>
      </w:r>
      <w:r w:rsidR="0001294D" w:rsidRPr="001357FA">
        <w:rPr>
          <w:b w:val="0"/>
          <w:sz w:val="22"/>
        </w:rPr>
        <w:t>and the</w:t>
      </w:r>
      <w:r w:rsidRPr="001357FA">
        <w:rPr>
          <w:b w:val="0"/>
          <w:sz w:val="22"/>
        </w:rPr>
        <w:t xml:space="preserve"> </w:t>
      </w:r>
      <w:r w:rsidR="00232E16" w:rsidRPr="001357FA">
        <w:rPr>
          <w:b w:val="0"/>
          <w:sz w:val="22"/>
        </w:rPr>
        <w:t>“</w:t>
      </w:r>
      <w:r w:rsidRPr="001357FA">
        <w:rPr>
          <w:b w:val="0"/>
          <w:sz w:val="22"/>
        </w:rPr>
        <w:t>fluid current</w:t>
      </w:r>
      <w:r w:rsidR="00232E16" w:rsidRPr="001357FA">
        <w:rPr>
          <w:b w:val="0"/>
          <w:sz w:val="22"/>
        </w:rPr>
        <w:t>” and</w:t>
      </w:r>
      <w:r w:rsidR="0068474E" w:rsidRPr="001357FA">
        <w:rPr>
          <w:b w:val="0"/>
          <w:sz w:val="22"/>
        </w:rPr>
        <w:t xml:space="preserve"> which we</w:t>
      </w:r>
      <w:r w:rsidR="00232E16" w:rsidRPr="001357FA">
        <w:rPr>
          <w:b w:val="0"/>
          <w:sz w:val="22"/>
        </w:rPr>
        <w:t xml:space="preserve"> denote with the symbols </w:t>
      </w:r>
      <w:r w:rsidR="00A84D1A" w:rsidRPr="001357FA">
        <w:rPr>
          <w:b w:val="0"/>
          <w:sz w:val="22"/>
        </w:rPr>
        <w:t>P</w:t>
      </w:r>
      <w:r w:rsidR="00232E16" w:rsidRPr="001357FA">
        <w:rPr>
          <w:b w:val="0"/>
          <w:sz w:val="22"/>
          <w:vertAlign w:val="subscript"/>
        </w:rPr>
        <w:t xml:space="preserve">Q </w:t>
      </w:r>
      <w:r w:rsidR="00232E16" w:rsidRPr="001357FA">
        <w:rPr>
          <w:b w:val="0"/>
          <w:sz w:val="22"/>
        </w:rPr>
        <w:t>and Q</w:t>
      </w:r>
      <w:r w:rsidR="00232E16" w:rsidRPr="001357FA">
        <w:rPr>
          <w:b w:val="0"/>
          <w:sz w:val="22"/>
          <w:vertAlign w:val="subscript"/>
        </w:rPr>
        <w:t>c</w:t>
      </w:r>
      <w:r w:rsidR="00232E16" w:rsidRPr="001357FA">
        <w:rPr>
          <w:b w:val="0"/>
          <w:sz w:val="22"/>
        </w:rPr>
        <w:t>, respectively</w:t>
      </w:r>
      <w:r w:rsidR="00621ABD" w:rsidRPr="001357FA">
        <w:rPr>
          <w:b w:val="0"/>
          <w:sz w:val="22"/>
        </w:rPr>
        <w:t>.</w:t>
      </w:r>
      <w:r w:rsidR="00232E16" w:rsidRPr="001357FA">
        <w:rPr>
          <w:b w:val="0"/>
          <w:sz w:val="22"/>
        </w:rPr>
        <w:t xml:space="preserve"> </w:t>
      </w:r>
    </w:p>
    <w:p w14:paraId="34C9B62D" w14:textId="77777777" w:rsidR="009A6C6E" w:rsidRPr="001357FA" w:rsidRDefault="00844746" w:rsidP="00E476DF">
      <w:pPr>
        <w:pStyle w:val="5FigureCaption"/>
        <w:jc w:val="left"/>
        <w:rPr>
          <w:rFonts w:ascii="Times New Roman" w:hAnsi="Times New Roman" w:cs="Times New Roman"/>
          <w:b w:val="0"/>
          <w:sz w:val="22"/>
        </w:rPr>
      </w:pPr>
      <w:r w:rsidRPr="001357FA">
        <w:rPr>
          <w:rFonts w:ascii="Times New Roman" w:hAnsi="Times New Roman" w:cs="Times New Roman"/>
          <w:b w:val="0"/>
          <w:sz w:val="22"/>
        </w:rPr>
        <w:t>A</w:t>
      </w:r>
      <w:r w:rsidR="006926EB" w:rsidRPr="001357FA">
        <w:rPr>
          <w:rFonts w:ascii="Times New Roman" w:hAnsi="Times New Roman" w:cs="Times New Roman"/>
          <w:b w:val="0"/>
          <w:sz w:val="22"/>
        </w:rPr>
        <w:t xml:space="preserve">ny given combination of the underlying variables </w:t>
      </w:r>
      <w:r w:rsidR="00232E16" w:rsidRPr="001357FA">
        <w:rPr>
          <w:rFonts w:ascii="Times New Roman" w:hAnsi="Times New Roman" w:cs="Times New Roman"/>
          <w:b w:val="0"/>
          <w:sz w:val="22"/>
        </w:rPr>
        <w:t>prescribed by the QFFM</w:t>
      </w:r>
      <w:r w:rsidR="006926EB" w:rsidRPr="001357FA">
        <w:rPr>
          <w:rFonts w:ascii="Times New Roman" w:hAnsi="Times New Roman" w:cs="Times New Roman"/>
          <w:b w:val="0"/>
          <w:sz w:val="22"/>
        </w:rPr>
        <w:t xml:space="preserve"> will have a unique pressure drop at any given flow rate.</w:t>
      </w:r>
      <w:r w:rsidR="00E13989" w:rsidRPr="001357FA">
        <w:rPr>
          <w:rFonts w:ascii="Times New Roman" w:hAnsi="Times New Roman" w:cs="Times New Roman"/>
          <w:b w:val="0"/>
          <w:sz w:val="22"/>
        </w:rPr>
        <w:t xml:space="preserve"> </w:t>
      </w:r>
      <w:r w:rsidRPr="001357FA">
        <w:rPr>
          <w:rFonts w:ascii="Times New Roman" w:hAnsi="Times New Roman" w:cs="Times New Roman"/>
          <w:b w:val="0"/>
          <w:sz w:val="22"/>
        </w:rPr>
        <w:t>Accordingly</w:t>
      </w:r>
      <w:r w:rsidR="0001294D" w:rsidRPr="001357FA">
        <w:rPr>
          <w:rFonts w:ascii="Times New Roman" w:hAnsi="Times New Roman" w:cs="Times New Roman"/>
          <w:b w:val="0"/>
          <w:sz w:val="22"/>
        </w:rPr>
        <w:t>, the</w:t>
      </w:r>
      <w:r w:rsidR="00E13989" w:rsidRPr="001357FA">
        <w:rPr>
          <w:rFonts w:ascii="Times New Roman" w:hAnsi="Times New Roman" w:cs="Times New Roman"/>
          <w:b w:val="0"/>
          <w:sz w:val="22"/>
        </w:rPr>
        <w:t xml:space="preserve"> </w:t>
      </w:r>
      <w:r w:rsidR="0001294D" w:rsidRPr="001357FA">
        <w:rPr>
          <w:rFonts w:ascii="Times New Roman" w:hAnsi="Times New Roman" w:cs="Times New Roman"/>
          <w:b w:val="0"/>
          <w:sz w:val="22"/>
        </w:rPr>
        <w:t xml:space="preserve">QFFM </w:t>
      </w:r>
      <w:r w:rsidR="0001294D" w:rsidRPr="001357FA">
        <w:rPr>
          <w:b w:val="0"/>
          <w:sz w:val="22"/>
        </w:rPr>
        <w:t>is</w:t>
      </w:r>
      <w:r w:rsidR="000E1D17" w:rsidRPr="001357FA">
        <w:rPr>
          <w:b w:val="0"/>
          <w:sz w:val="22"/>
        </w:rPr>
        <w:t xml:space="preserve"> capable of distinguishing between </w:t>
      </w:r>
      <w:r w:rsidR="000E1D17" w:rsidRPr="001357FA">
        <w:rPr>
          <w:b w:val="0"/>
          <w:i/>
          <w:sz w:val="22"/>
        </w:rPr>
        <w:t>valid</w:t>
      </w:r>
      <w:r w:rsidR="000E1D17" w:rsidRPr="001357FA">
        <w:rPr>
          <w:b w:val="0"/>
          <w:sz w:val="22"/>
        </w:rPr>
        <w:t xml:space="preserve"> and </w:t>
      </w:r>
      <w:r w:rsidR="000E1D17" w:rsidRPr="001357FA">
        <w:rPr>
          <w:b w:val="0"/>
          <w:i/>
          <w:sz w:val="22"/>
        </w:rPr>
        <w:t xml:space="preserve">invalid </w:t>
      </w:r>
      <w:r w:rsidR="000E1D17" w:rsidRPr="001357FA">
        <w:rPr>
          <w:rFonts w:ascii="Times New Roman" w:hAnsi="Times New Roman" w:cs="Times New Roman"/>
          <w:b w:val="0"/>
          <w:sz w:val="22"/>
        </w:rPr>
        <w:t xml:space="preserve">data.  </w:t>
      </w:r>
      <w:r w:rsidR="0001294D" w:rsidRPr="001357FA">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1357FA">
        <w:rPr>
          <w:rFonts w:ascii="Times New Roman" w:hAnsi="Times New Roman" w:cs="Times New Roman"/>
          <w:b w:val="0"/>
          <w:sz w:val="22"/>
        </w:rPr>
        <w:t>W</w:t>
      </w:r>
      <w:r w:rsidR="006926EB" w:rsidRPr="001357FA">
        <w:rPr>
          <w:rFonts w:ascii="Times New Roman" w:hAnsi="Times New Roman" w:cs="Times New Roman"/>
          <w:b w:val="0"/>
          <w:sz w:val="22"/>
        </w:rPr>
        <w:t xml:space="preserve">e consider </w:t>
      </w:r>
      <w:r w:rsidR="00E13989" w:rsidRPr="001357FA">
        <w:rPr>
          <w:rFonts w:ascii="Times New Roman" w:hAnsi="Times New Roman" w:cs="Times New Roman"/>
          <w:b w:val="0"/>
          <w:sz w:val="22"/>
        </w:rPr>
        <w:t xml:space="preserve">any mismatch </w:t>
      </w:r>
      <w:r w:rsidR="006926EB" w:rsidRPr="001357FA">
        <w:rPr>
          <w:rFonts w:ascii="Times New Roman" w:hAnsi="Times New Roman" w:cs="Times New Roman"/>
          <w:b w:val="0"/>
          <w:sz w:val="22"/>
        </w:rPr>
        <w:t xml:space="preserve">to be an </w:t>
      </w:r>
      <w:r w:rsidR="006926EB" w:rsidRPr="001357FA">
        <w:rPr>
          <w:rFonts w:ascii="Times New Roman" w:hAnsi="Times New Roman" w:cs="Times New Roman"/>
          <w:b w:val="0"/>
          <w:i/>
          <w:sz w:val="22"/>
        </w:rPr>
        <w:t xml:space="preserve">invalid </w:t>
      </w:r>
      <w:r w:rsidR="006926EB" w:rsidRPr="001357FA">
        <w:rPr>
          <w:rFonts w:ascii="Times New Roman" w:hAnsi="Times New Roman" w:cs="Times New Roman"/>
          <w:b w:val="0"/>
          <w:sz w:val="22"/>
        </w:rPr>
        <w:t>empirical result.</w:t>
      </w:r>
      <w:r w:rsidR="00771D98" w:rsidRPr="001357FA">
        <w:rPr>
          <w:rFonts w:ascii="Times New Roman" w:hAnsi="Times New Roman" w:cs="Times New Roman"/>
          <w:b w:val="0"/>
          <w:sz w:val="22"/>
        </w:rPr>
        <w:t xml:space="preserve"> It follows that for every </w:t>
      </w:r>
      <w:r w:rsidR="00771D98" w:rsidRPr="001357FA">
        <w:rPr>
          <w:rFonts w:ascii="Times New Roman" w:hAnsi="Times New Roman" w:cs="Times New Roman"/>
          <w:b w:val="0"/>
          <w:i/>
          <w:sz w:val="22"/>
        </w:rPr>
        <w:t>invalid</w:t>
      </w:r>
      <w:r w:rsidR="00771D98" w:rsidRPr="001357FA">
        <w:rPr>
          <w:rFonts w:ascii="Times New Roman" w:hAnsi="Times New Roman" w:cs="Times New Roman"/>
          <w:b w:val="0"/>
          <w:sz w:val="22"/>
        </w:rPr>
        <w:t xml:space="preserve"> empirical result there is but one </w:t>
      </w:r>
      <w:r w:rsidR="00771D98" w:rsidRPr="001357FA">
        <w:rPr>
          <w:rFonts w:ascii="Times New Roman" w:hAnsi="Times New Roman" w:cs="Times New Roman"/>
          <w:b w:val="0"/>
          <w:i/>
          <w:sz w:val="22"/>
        </w:rPr>
        <w:t xml:space="preserve">valid </w:t>
      </w:r>
      <w:r w:rsidR="00771D98" w:rsidRPr="001357FA">
        <w:rPr>
          <w:rFonts w:ascii="Times New Roman" w:hAnsi="Times New Roman" w:cs="Times New Roman"/>
          <w:b w:val="0"/>
          <w:sz w:val="22"/>
        </w:rPr>
        <w:t>corrected result.</w:t>
      </w:r>
    </w:p>
    <w:p w14:paraId="395EAA6C" w14:textId="02E86886" w:rsidR="00C836E4" w:rsidRPr="001357FA" w:rsidRDefault="001A0D5F" w:rsidP="00E476DF">
      <w:pPr>
        <w:pStyle w:val="5FigureCaption"/>
        <w:jc w:val="left"/>
        <w:rPr>
          <w:rFonts w:ascii="Times New Roman" w:hAnsi="Times New Roman" w:cs="Times New Roman"/>
          <w:b w:val="0"/>
          <w:sz w:val="22"/>
        </w:rPr>
      </w:pPr>
      <w:r w:rsidRPr="001357FA">
        <w:rPr>
          <w:rFonts w:ascii="Times New Roman" w:hAnsi="Times New Roman" w:cs="Times New Roman"/>
          <w:b w:val="0"/>
          <w:sz w:val="22"/>
        </w:rPr>
        <w:t>B</w:t>
      </w:r>
      <w:r w:rsidR="009A6C6E" w:rsidRPr="001357FA">
        <w:rPr>
          <w:rFonts w:ascii="Times New Roman" w:hAnsi="Times New Roman" w:cs="Times New Roman"/>
          <w:b w:val="0"/>
          <w:sz w:val="22"/>
        </w:rPr>
        <w:t xml:space="preserve">efore one can apply Quinn’s Law to any given empirical </w:t>
      </w:r>
      <w:r w:rsidR="008E5AAE" w:rsidRPr="001357FA">
        <w:rPr>
          <w:rFonts w:ascii="Times New Roman" w:hAnsi="Times New Roman" w:cs="Times New Roman"/>
          <w:b w:val="0"/>
          <w:sz w:val="22"/>
        </w:rPr>
        <w:t>result that</w:t>
      </w:r>
      <w:r w:rsidR="009A6C6E" w:rsidRPr="001357FA">
        <w:rPr>
          <w:rFonts w:ascii="Times New Roman" w:hAnsi="Times New Roman" w:cs="Times New Roman"/>
          <w:b w:val="0"/>
          <w:sz w:val="22"/>
        </w:rPr>
        <w:t xml:space="preserve"> result has to be validated using the </w:t>
      </w:r>
      <w:r w:rsidR="009A6C6E" w:rsidRPr="001357FA">
        <w:rPr>
          <w:rFonts w:ascii="Times New Roman" w:hAnsi="Times New Roman" w:cs="Times New Roman"/>
          <w:b w:val="0"/>
          <w:sz w:val="22"/>
          <w:u w:val="single"/>
        </w:rPr>
        <w:t xml:space="preserve">dimensional manifestation </w:t>
      </w:r>
      <w:r w:rsidR="009A6C6E" w:rsidRPr="001357FA">
        <w:rPr>
          <w:rFonts w:ascii="Times New Roman" w:hAnsi="Times New Roman" w:cs="Times New Roman"/>
          <w:b w:val="0"/>
          <w:sz w:val="22"/>
        </w:rPr>
        <w:t xml:space="preserve">of the QFFM. This, in turn, is because one cannot normalize properly for all the </w:t>
      </w:r>
      <w:r w:rsidR="003865F8" w:rsidRPr="001357FA">
        <w:rPr>
          <w:rFonts w:ascii="Times New Roman" w:hAnsi="Times New Roman" w:cs="Times New Roman"/>
          <w:b w:val="0"/>
          <w:sz w:val="22"/>
          <w:u w:val="single"/>
        </w:rPr>
        <w:t>individual respective</w:t>
      </w:r>
      <w:r w:rsidR="00C02C73" w:rsidRPr="001357FA">
        <w:rPr>
          <w:rFonts w:ascii="Times New Roman" w:hAnsi="Times New Roman" w:cs="Times New Roman"/>
          <w:b w:val="0"/>
          <w:sz w:val="22"/>
          <w:u w:val="single"/>
        </w:rPr>
        <w:t xml:space="preserve"> </w:t>
      </w:r>
      <w:r w:rsidR="009A6C6E" w:rsidRPr="001357FA">
        <w:rPr>
          <w:rFonts w:ascii="Times New Roman" w:hAnsi="Times New Roman" w:cs="Times New Roman"/>
          <w:b w:val="0"/>
          <w:sz w:val="22"/>
          <w:u w:val="single"/>
        </w:rPr>
        <w:t>contributions</w:t>
      </w:r>
      <w:r w:rsidR="009A6C6E" w:rsidRPr="001357FA">
        <w:rPr>
          <w:rFonts w:ascii="Times New Roman" w:hAnsi="Times New Roman" w:cs="Times New Roman"/>
          <w:b w:val="0"/>
          <w:sz w:val="22"/>
        </w:rPr>
        <w:t xml:space="preserve"> unless all the variables are correctly identified and their values</w:t>
      </w:r>
      <w:r w:rsidR="009A6C6E" w:rsidRPr="001357FA">
        <w:rPr>
          <w:rFonts w:ascii="Times New Roman" w:hAnsi="Times New Roman" w:cs="Times New Roman"/>
          <w:b w:val="0"/>
          <w:sz w:val="22"/>
          <w:u w:val="single"/>
        </w:rPr>
        <w:t xml:space="preserve"> are commensurate with</w:t>
      </w:r>
      <w:r w:rsidR="009A6C6E" w:rsidRPr="001357FA">
        <w:rPr>
          <w:rFonts w:ascii="Times New Roman" w:hAnsi="Times New Roman" w:cs="Times New Roman"/>
          <w:b w:val="0"/>
          <w:sz w:val="22"/>
        </w:rPr>
        <w:t xml:space="preserve"> the measured pressure drops and fluid flow rates.</w:t>
      </w:r>
      <w:r w:rsidR="00771D98" w:rsidRPr="001357FA">
        <w:rPr>
          <w:rFonts w:ascii="Times New Roman" w:hAnsi="Times New Roman" w:cs="Times New Roman"/>
          <w:b w:val="0"/>
          <w:sz w:val="22"/>
        </w:rPr>
        <w:t xml:space="preserve"> </w:t>
      </w:r>
      <w:r w:rsidR="009A6C6E" w:rsidRPr="001357FA">
        <w:rPr>
          <w:rFonts w:ascii="Times New Roman" w:hAnsi="Times New Roman" w:cs="Times New Roman"/>
          <w:b w:val="0"/>
          <w:sz w:val="22"/>
        </w:rPr>
        <w:t xml:space="preserve"> </w:t>
      </w:r>
      <w:r w:rsidR="00771D98" w:rsidRPr="001357FA">
        <w:rPr>
          <w:rFonts w:ascii="Times New Roman" w:hAnsi="Times New Roman" w:cs="Times New Roman"/>
          <w:b w:val="0"/>
          <w:sz w:val="22"/>
        </w:rPr>
        <w:t>In general, we can state that since most of the underlying variables pertaining to a fluid flow embodiment are relatively easy to measure</w:t>
      </w:r>
      <w:r w:rsidR="007E29FD" w:rsidRPr="001357FA">
        <w:rPr>
          <w:rFonts w:ascii="Times New Roman" w:hAnsi="Times New Roman" w:cs="Times New Roman"/>
          <w:b w:val="0"/>
          <w:sz w:val="22"/>
        </w:rPr>
        <w:t>, the correction usually pertains to the more difficult</w:t>
      </w:r>
      <w:r w:rsidR="009A6C6E" w:rsidRPr="001357FA">
        <w:rPr>
          <w:rFonts w:ascii="Times New Roman" w:hAnsi="Times New Roman" w:cs="Times New Roman"/>
          <w:b w:val="0"/>
          <w:sz w:val="22"/>
        </w:rPr>
        <w:t>-</w:t>
      </w:r>
      <w:r w:rsidR="007E29FD" w:rsidRPr="001357FA">
        <w:rPr>
          <w:rFonts w:ascii="Times New Roman" w:hAnsi="Times New Roman" w:cs="Times New Roman"/>
          <w:b w:val="0"/>
          <w:sz w:val="22"/>
        </w:rPr>
        <w:t>to</w:t>
      </w:r>
      <w:r w:rsidR="009A6C6E" w:rsidRPr="001357FA">
        <w:rPr>
          <w:rFonts w:ascii="Times New Roman" w:hAnsi="Times New Roman" w:cs="Times New Roman"/>
          <w:b w:val="0"/>
          <w:sz w:val="22"/>
        </w:rPr>
        <w:t>-</w:t>
      </w:r>
      <w:r w:rsidR="007E29FD" w:rsidRPr="001357FA">
        <w:rPr>
          <w:rFonts w:ascii="Times New Roman" w:hAnsi="Times New Roman" w:cs="Times New Roman"/>
          <w:b w:val="0"/>
          <w:sz w:val="22"/>
        </w:rPr>
        <w:t>measure variables</w:t>
      </w:r>
      <w:r w:rsidR="000E1D17" w:rsidRPr="001357FA">
        <w:rPr>
          <w:rFonts w:ascii="Times New Roman" w:hAnsi="Times New Roman" w:cs="Times New Roman"/>
          <w:b w:val="0"/>
          <w:sz w:val="22"/>
        </w:rPr>
        <w:t xml:space="preserve">. In the case of a packed conduit, the problematical measurements </w:t>
      </w:r>
      <w:r w:rsidR="0001294D" w:rsidRPr="001357FA">
        <w:rPr>
          <w:rFonts w:ascii="Times New Roman" w:hAnsi="Times New Roman" w:cs="Times New Roman"/>
          <w:b w:val="0"/>
          <w:sz w:val="22"/>
        </w:rPr>
        <w:t xml:space="preserve">include </w:t>
      </w:r>
      <w:r w:rsidR="0001294D" w:rsidRPr="001357FA">
        <w:rPr>
          <w:rFonts w:ascii="Times New Roman" w:hAnsi="Times New Roman"/>
          <w:b w:val="0"/>
          <w:sz w:val="22"/>
          <w:u w:val="single"/>
        </w:rPr>
        <w:t>particle</w:t>
      </w:r>
      <w:r w:rsidR="007E29FD" w:rsidRPr="001357FA">
        <w:rPr>
          <w:rFonts w:ascii="Times New Roman" w:hAnsi="Times New Roman" w:cs="Times New Roman"/>
          <w:b w:val="0"/>
          <w:sz w:val="22"/>
          <w:u w:val="single"/>
        </w:rPr>
        <w:t xml:space="preserve"> sphericity</w:t>
      </w:r>
      <w:r w:rsidR="007E29FD" w:rsidRPr="001357FA">
        <w:rPr>
          <w:rFonts w:ascii="Times New Roman" w:hAnsi="Times New Roman" w:cs="Times New Roman"/>
          <w:b w:val="0"/>
          <w:sz w:val="22"/>
        </w:rPr>
        <w:t xml:space="preserve">, </w:t>
      </w:r>
      <w:r w:rsidR="007E29FD" w:rsidRPr="001357FA">
        <w:rPr>
          <w:rFonts w:ascii="Times New Roman" w:hAnsi="Times New Roman" w:cs="Times New Roman"/>
          <w:b w:val="0"/>
          <w:sz w:val="22"/>
          <w:u w:val="single"/>
        </w:rPr>
        <w:t>average particle diameter</w:t>
      </w:r>
      <w:r w:rsidR="007E29FD" w:rsidRPr="001357FA">
        <w:rPr>
          <w:rFonts w:ascii="Times New Roman" w:hAnsi="Times New Roman" w:cs="Times New Roman"/>
          <w:b w:val="0"/>
          <w:sz w:val="22"/>
        </w:rPr>
        <w:t xml:space="preserve"> and </w:t>
      </w:r>
      <w:r w:rsidR="007E29FD" w:rsidRPr="001357FA">
        <w:rPr>
          <w:rFonts w:ascii="Times New Roman" w:hAnsi="Times New Roman"/>
          <w:b w:val="0"/>
          <w:sz w:val="22"/>
          <w:u w:val="single"/>
        </w:rPr>
        <w:t xml:space="preserve">conduit </w:t>
      </w:r>
      <w:r w:rsidR="007E29FD" w:rsidRPr="001357FA">
        <w:rPr>
          <w:rFonts w:ascii="Times New Roman" w:hAnsi="Times New Roman" w:cs="Times New Roman"/>
          <w:b w:val="0"/>
          <w:sz w:val="22"/>
          <w:u w:val="single"/>
        </w:rPr>
        <w:t>external porosity</w:t>
      </w:r>
      <w:r w:rsidR="007E29FD" w:rsidRPr="001357FA">
        <w:rPr>
          <w:rFonts w:ascii="Times New Roman" w:hAnsi="Times New Roman" w:cs="Times New Roman"/>
          <w:b w:val="0"/>
          <w:sz w:val="22"/>
        </w:rPr>
        <w:t xml:space="preserve">, </w:t>
      </w:r>
      <w:r w:rsidR="000E1D17" w:rsidRPr="001357FA">
        <w:rPr>
          <w:rFonts w:ascii="Times New Roman" w:hAnsi="Times New Roman" w:cs="Times New Roman"/>
          <w:b w:val="0"/>
          <w:sz w:val="22"/>
        </w:rPr>
        <w:t>In the case of an empty conduit</w:t>
      </w:r>
      <w:r w:rsidR="009A6C6E" w:rsidRPr="001357FA">
        <w:rPr>
          <w:rFonts w:ascii="Times New Roman" w:hAnsi="Times New Roman" w:cs="Times New Roman"/>
          <w:b w:val="0"/>
          <w:sz w:val="22"/>
        </w:rPr>
        <w:t xml:space="preserve">, the weak link in terms of measurability is the </w:t>
      </w:r>
      <w:r w:rsidR="0001294D" w:rsidRPr="001357FA">
        <w:rPr>
          <w:rFonts w:ascii="Times New Roman" w:hAnsi="Times New Roman" w:cs="Times New Roman"/>
          <w:b w:val="0"/>
          <w:sz w:val="22"/>
        </w:rPr>
        <w:t>conduit’s inner</w:t>
      </w:r>
      <w:r w:rsidR="007E29FD" w:rsidRPr="001357FA">
        <w:rPr>
          <w:rFonts w:ascii="Times New Roman" w:hAnsi="Times New Roman" w:cs="Times New Roman"/>
          <w:b w:val="0"/>
          <w:sz w:val="22"/>
          <w:u w:val="single"/>
        </w:rPr>
        <w:t xml:space="preserve"> wall roughness</w:t>
      </w:r>
      <w:r w:rsidR="007E29FD" w:rsidRPr="001357FA">
        <w:rPr>
          <w:rFonts w:ascii="Times New Roman" w:hAnsi="Times New Roman" w:cs="Times New Roman"/>
          <w:b w:val="0"/>
          <w:sz w:val="22"/>
        </w:rPr>
        <w:t>.</w:t>
      </w:r>
      <w:r w:rsidR="009D1D18" w:rsidRPr="001357FA">
        <w:rPr>
          <w:rFonts w:ascii="Times New Roman" w:hAnsi="Times New Roman" w:cs="Times New Roman"/>
          <w:b w:val="0"/>
          <w:sz w:val="22"/>
        </w:rPr>
        <w:t xml:space="preserve"> </w:t>
      </w:r>
    </w:p>
    <w:p w14:paraId="7FBCD569" w14:textId="0393D89C" w:rsidR="006B2099" w:rsidRPr="001357FA" w:rsidRDefault="00C14B1B" w:rsidP="001C2B61">
      <w:pPr>
        <w:pStyle w:val="5FigureCaption"/>
        <w:jc w:val="left"/>
        <w:rPr>
          <w:rFonts w:ascii="Times New Roman" w:hAnsi="Times New Roman" w:cs="Times New Roman"/>
          <w:b w:val="0"/>
          <w:sz w:val="22"/>
        </w:rPr>
      </w:pPr>
      <w:r w:rsidRPr="001357FA">
        <w:rPr>
          <w:rFonts w:ascii="Times New Roman" w:hAnsi="Times New Roman" w:cs="Times New Roman"/>
          <w:b w:val="0"/>
          <w:sz w:val="22"/>
        </w:rPr>
        <w:t>QFFM is a unique and powerful new tool in the arsenal of the fluid flow practitioner.</w:t>
      </w:r>
      <w:r w:rsidR="00502D29" w:rsidRPr="001357FA">
        <w:rPr>
          <w:rFonts w:ascii="Times New Roman" w:hAnsi="Times New Roman" w:cs="Times New Roman"/>
          <w:b w:val="0"/>
          <w:sz w:val="22"/>
        </w:rPr>
        <w:t xml:space="preserve"> In particular, when experiments are conducted in the transitional and/or turbulent regimes, the </w:t>
      </w:r>
      <w:r w:rsidR="00001466" w:rsidRPr="001357FA">
        <w:rPr>
          <w:rFonts w:ascii="Times New Roman" w:hAnsi="Times New Roman" w:cs="Times New Roman"/>
          <w:b w:val="0"/>
          <w:sz w:val="22"/>
        </w:rPr>
        <w:t xml:space="preserve">conventional </w:t>
      </w:r>
      <w:r w:rsidR="00502D29" w:rsidRPr="001357FA">
        <w:rPr>
          <w:rFonts w:ascii="Times New Roman" w:hAnsi="Times New Roman" w:cs="Times New Roman"/>
          <w:b w:val="0"/>
          <w:sz w:val="22"/>
        </w:rPr>
        <w:t xml:space="preserve">methodology does not provide any reliable </w:t>
      </w:r>
      <w:r w:rsidR="00CD55FA" w:rsidRPr="001357FA">
        <w:rPr>
          <w:rFonts w:ascii="Times New Roman" w:hAnsi="Times New Roman" w:cs="Times New Roman"/>
          <w:b w:val="0"/>
          <w:sz w:val="22"/>
        </w:rPr>
        <w:t xml:space="preserve">way to verify the accuracy of the results </w:t>
      </w:r>
      <w:r w:rsidR="00502D29" w:rsidRPr="001357FA">
        <w:rPr>
          <w:rFonts w:ascii="Times New Roman" w:hAnsi="Times New Roman" w:cs="Times New Roman"/>
          <w:b w:val="0"/>
          <w:sz w:val="22"/>
        </w:rPr>
        <w:t>across a broad</w:t>
      </w:r>
      <w:r w:rsidR="002A4969" w:rsidRPr="001357FA">
        <w:rPr>
          <w:rFonts w:ascii="Times New Roman" w:hAnsi="Times New Roman" w:cs="Times New Roman"/>
          <w:b w:val="0"/>
          <w:sz w:val="22"/>
        </w:rPr>
        <w:t xml:space="preserve"> spectrum of Reynolds numbers. </w:t>
      </w:r>
      <w:r w:rsidR="00ED5268" w:rsidRPr="001357FA">
        <w:rPr>
          <w:rFonts w:ascii="Times New Roman" w:hAnsi="Times New Roman" w:cs="Times New Roman"/>
          <w:b w:val="0"/>
          <w:sz w:val="22"/>
        </w:rPr>
        <w:t>Thus, it</w:t>
      </w:r>
      <w:r w:rsidR="00502D29" w:rsidRPr="001357FA">
        <w:rPr>
          <w:rFonts w:ascii="Times New Roman" w:hAnsi="Times New Roman" w:cs="Times New Roman"/>
          <w:b w:val="0"/>
          <w:sz w:val="22"/>
        </w:rPr>
        <w:t xml:space="preserve"> is in these regions of the fluid flow regime that the QFFM will be shown to be most useful. </w:t>
      </w:r>
      <w:r w:rsidRPr="001357FA">
        <w:rPr>
          <w:rFonts w:ascii="Times New Roman" w:hAnsi="Times New Roman" w:cs="Times New Roman"/>
          <w:b w:val="0"/>
          <w:sz w:val="22"/>
        </w:rPr>
        <w:t xml:space="preserve">In </w:t>
      </w:r>
      <w:r w:rsidR="004E0F26" w:rsidRPr="001357FA">
        <w:rPr>
          <w:rFonts w:ascii="Times New Roman" w:hAnsi="Times New Roman" w:cs="Times New Roman"/>
          <w:b w:val="0"/>
          <w:sz w:val="22"/>
        </w:rPr>
        <w:t>fact,</w:t>
      </w:r>
      <w:r w:rsidRPr="001357FA">
        <w:rPr>
          <w:rFonts w:ascii="Times New Roman" w:hAnsi="Times New Roman" w:cs="Times New Roman"/>
          <w:b w:val="0"/>
          <w:sz w:val="22"/>
        </w:rPr>
        <w:t xml:space="preserve"> it is a direct consequence from the statements</w:t>
      </w:r>
      <w:r w:rsidR="00502D29" w:rsidRPr="001357FA">
        <w:rPr>
          <w:rFonts w:ascii="Times New Roman" w:hAnsi="Times New Roman" w:cs="Times New Roman"/>
          <w:b w:val="0"/>
          <w:sz w:val="22"/>
        </w:rPr>
        <w:t xml:space="preserve"> contained herein</w:t>
      </w:r>
      <w:r w:rsidRPr="001357FA">
        <w:rPr>
          <w:rFonts w:ascii="Times New Roman" w:hAnsi="Times New Roman" w:cs="Times New Roman"/>
          <w:b w:val="0"/>
          <w:sz w:val="22"/>
        </w:rPr>
        <w:t xml:space="preserve"> that one </w:t>
      </w:r>
      <w:r w:rsidR="00502D29" w:rsidRPr="001357FA">
        <w:rPr>
          <w:rFonts w:ascii="Times New Roman" w:hAnsi="Times New Roman" w:cs="Times New Roman"/>
          <w:b w:val="0"/>
          <w:sz w:val="22"/>
        </w:rPr>
        <w:t>needs only to measure pressure drop</w:t>
      </w:r>
      <w:r w:rsidR="00ED5268" w:rsidRPr="001357FA">
        <w:rPr>
          <w:rFonts w:ascii="Times New Roman" w:hAnsi="Times New Roman" w:cs="Times New Roman"/>
          <w:b w:val="0"/>
          <w:sz w:val="22"/>
        </w:rPr>
        <w:t xml:space="preserve"> and fluid flow </w:t>
      </w:r>
      <w:r w:rsidR="004E0F26" w:rsidRPr="001357FA">
        <w:rPr>
          <w:rFonts w:ascii="Times New Roman" w:hAnsi="Times New Roman" w:cs="Times New Roman"/>
          <w:b w:val="0"/>
          <w:sz w:val="22"/>
        </w:rPr>
        <w:t>rate to</w:t>
      </w:r>
      <w:r w:rsidR="00502D29" w:rsidRPr="001357FA">
        <w:rPr>
          <w:rFonts w:ascii="Times New Roman" w:hAnsi="Times New Roman" w:cs="Times New Roman"/>
          <w:b w:val="0"/>
          <w:sz w:val="22"/>
        </w:rPr>
        <w:t xml:space="preserve"> evaluate the quality of one’s experimental technique.</w:t>
      </w:r>
      <w:r w:rsidR="00E13989" w:rsidRPr="001357FA">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1357FA">
        <w:rPr>
          <w:rFonts w:ascii="Times New Roman" w:hAnsi="Times New Roman" w:cs="Times New Roman"/>
          <w:b w:val="0"/>
          <w:sz w:val="22"/>
        </w:rPr>
        <w:t>nefits as</w:t>
      </w:r>
      <w:r w:rsidR="00E13989" w:rsidRPr="001357FA">
        <w:rPr>
          <w:rFonts w:ascii="Times New Roman" w:hAnsi="Times New Roman" w:cs="Times New Roman"/>
          <w:b w:val="0"/>
          <w:sz w:val="22"/>
        </w:rPr>
        <w:t xml:space="preserve"> our counterparts within the field of </w:t>
      </w:r>
      <w:r w:rsidR="00E13989" w:rsidRPr="001357FA">
        <w:rPr>
          <w:rFonts w:ascii="Times New Roman" w:hAnsi="Times New Roman"/>
          <w:b w:val="0"/>
          <w:sz w:val="22"/>
        </w:rPr>
        <w:t>electricity and magnetism.</w:t>
      </w:r>
    </w:p>
    <w:p w14:paraId="25BED722" w14:textId="77777777" w:rsidR="0001294D" w:rsidRDefault="0001294D" w:rsidP="001357FA">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65274E2E" w:rsidR="00D437BD" w:rsidRPr="001357FA" w:rsidRDefault="00966624">
      <w:pPr>
        <w:rPr>
          <w:sz w:val="22"/>
        </w:rPr>
      </w:pPr>
      <w:r w:rsidRPr="001357FA">
        <w:rPr>
          <w:sz w:val="22"/>
        </w:rPr>
        <w:t xml:space="preserve">We review here </w:t>
      </w:r>
      <w:r w:rsidR="003E4587" w:rsidRPr="001357FA">
        <w:rPr>
          <w:sz w:val="22"/>
        </w:rPr>
        <w:t xml:space="preserve">a published article in </w:t>
      </w:r>
      <w:r w:rsidR="000C6071">
        <w:rPr>
          <w:b/>
          <w:i/>
          <w:sz w:val="22"/>
        </w:rPr>
        <w:t>Iraqi Journal of Civil Engineering Vol. 6. No. 3. pp. 60-69</w:t>
      </w:r>
      <w:r w:rsidR="003E4587" w:rsidRPr="001357FA">
        <w:rPr>
          <w:b/>
          <w:sz w:val="22"/>
        </w:rPr>
        <w:t>,</w:t>
      </w:r>
      <w:r w:rsidR="003E4587" w:rsidRPr="001357FA">
        <w:rPr>
          <w:sz w:val="22"/>
        </w:rPr>
        <w:t xml:space="preserve"> entitled </w:t>
      </w:r>
      <w:r w:rsidR="000C6071" w:rsidRPr="000C6071">
        <w:rPr>
          <w:b/>
          <w:sz w:val="22"/>
        </w:rPr>
        <w:t xml:space="preserve">Estimated Equations for Water Flow </w:t>
      </w:r>
      <w:r w:rsidR="00394A74" w:rsidRPr="000C6071">
        <w:rPr>
          <w:b/>
          <w:sz w:val="22"/>
        </w:rPr>
        <w:t>through</w:t>
      </w:r>
      <w:r w:rsidR="000C6071" w:rsidRPr="000C6071">
        <w:rPr>
          <w:b/>
          <w:sz w:val="22"/>
        </w:rPr>
        <w:t xml:space="preserve"> Packed Bed of Mono Size Spherical Packing System</w:t>
      </w:r>
      <w:r w:rsidR="00F94866" w:rsidRPr="001357FA">
        <w:rPr>
          <w:b/>
          <w:i/>
          <w:sz w:val="22"/>
        </w:rPr>
        <w:t xml:space="preserve">, </w:t>
      </w:r>
      <w:r w:rsidR="004F5BF8" w:rsidRPr="001357FA">
        <w:rPr>
          <w:sz w:val="22"/>
        </w:rPr>
        <w:t xml:space="preserve">by </w:t>
      </w:r>
      <w:r w:rsidR="000C6071" w:rsidRPr="000C6071">
        <w:rPr>
          <w:b/>
          <w:sz w:val="22"/>
        </w:rPr>
        <w:t>Kareem</w:t>
      </w:r>
      <w:r w:rsidRPr="000C6071">
        <w:rPr>
          <w:b/>
          <w:sz w:val="22"/>
        </w:rPr>
        <w:t>.</w:t>
      </w:r>
      <w:r w:rsidRPr="001357FA">
        <w:rPr>
          <w:sz w:val="22"/>
        </w:rPr>
        <w:t xml:space="preserve"> </w:t>
      </w:r>
      <w:r w:rsidR="00EF4C61" w:rsidRPr="001357FA">
        <w:rPr>
          <w:sz w:val="22"/>
        </w:rPr>
        <w:t>For easy reference to the reader, we print here in its entirety the abstract in the paper.</w:t>
      </w:r>
    </w:p>
    <w:p w14:paraId="220AEA5B" w14:textId="77777777" w:rsidR="00EF4C61" w:rsidRDefault="00EF4C61">
      <w:pPr>
        <w:rPr>
          <w:sz w:val="20"/>
          <w:szCs w:val="20"/>
        </w:rPr>
      </w:pPr>
    </w:p>
    <w:p w14:paraId="17CD637A" w14:textId="77777777" w:rsidR="00EF4C61" w:rsidRPr="001357FA" w:rsidRDefault="00EF4C61" w:rsidP="00EF4C61">
      <w:pPr>
        <w:jc w:val="center"/>
        <w:rPr>
          <w:b/>
          <w:szCs w:val="24"/>
        </w:rPr>
      </w:pPr>
      <w:r w:rsidRPr="001357FA">
        <w:rPr>
          <w:b/>
          <w:szCs w:val="24"/>
        </w:rPr>
        <w:t>Paper Abstract</w:t>
      </w:r>
    </w:p>
    <w:p w14:paraId="3FCB997A" w14:textId="649EED75" w:rsidR="003044B6" w:rsidRPr="007C3D8D" w:rsidRDefault="007C3D8D" w:rsidP="007C3D8D">
      <w:pPr>
        <w:autoSpaceDE w:val="0"/>
        <w:autoSpaceDN w:val="0"/>
        <w:adjustRightInd w:val="0"/>
        <w:ind w:firstLine="0"/>
        <w:rPr>
          <w:rFonts w:ascii="Thames" w:hAnsi="Thames" w:cs="Thames"/>
          <w:color w:val="000000"/>
          <w:sz w:val="22"/>
        </w:rPr>
      </w:pPr>
      <w:r w:rsidRPr="007C3D8D">
        <w:rPr>
          <w:rFonts w:ascii="Thames" w:hAnsi="Thames" w:cs="Thames"/>
          <w:color w:val="000000"/>
          <w:sz w:val="22"/>
        </w:rPr>
        <w:t xml:space="preserve">Semi-empirical equation for water flow through packed bed of sphere particles of mono size packing system has been estimated depending on </w:t>
      </w:r>
      <w:r w:rsidRPr="007C3D8D">
        <w:rPr>
          <w:rFonts w:ascii="Thames" w:hAnsi="Thames" w:cs="Thames"/>
          <w:color w:val="FF0000"/>
          <w:sz w:val="22"/>
        </w:rPr>
        <w:t xml:space="preserve">Buckingham </w:t>
      </w:r>
      <w:r w:rsidRPr="007C3D8D">
        <w:rPr>
          <w:rFonts w:ascii="SymbolMT" w:eastAsia="SymbolMT" w:hAnsi="Thames" w:cs="SymbolMT" w:hint="eastAsia"/>
          <w:color w:val="FF0000"/>
          <w:sz w:val="22"/>
        </w:rPr>
        <w:t>π</w:t>
      </w:r>
      <w:r w:rsidRPr="007C3D8D">
        <w:rPr>
          <w:rFonts w:ascii="SymbolMT" w:eastAsia="SymbolMT" w:hAnsi="Thames" w:cs="SymbolMT"/>
          <w:color w:val="FF0000"/>
          <w:sz w:val="22"/>
        </w:rPr>
        <w:t xml:space="preserve"> </w:t>
      </w:r>
      <w:r w:rsidRPr="007C3D8D">
        <w:rPr>
          <w:rFonts w:ascii="Thames" w:hAnsi="Thames" w:cs="Thames"/>
          <w:color w:val="FF0000"/>
          <w:sz w:val="22"/>
        </w:rPr>
        <w:t>theorem</w:t>
      </w:r>
      <w:r w:rsidRPr="007C3D8D">
        <w:rPr>
          <w:rFonts w:ascii="Thames" w:hAnsi="Thames" w:cs="Thames"/>
          <w:color w:val="000000"/>
          <w:sz w:val="22"/>
        </w:rPr>
        <w:t>. Different parameters affecting the pressure drop of fluid flow through packed bed have been studied. These parameters are fluid velocity, bed porosity, bed diameter, sphericity, particle diameter, packing height and wall effect. Several types and kinds of packing materials have been used in this study such as (Pea Gravel, Marbles, Glass Marbles, Black Marbles, Clear Marbles, Acrylic balls and Glass spheres). The diameters of the packing materials used in this model are from the range of (0.2-8.89) cm, the porosity is from the range of (0.3-0.47), the bed diameters is from the range of (7.62 - 15.24) cm and the height of packing is from the</w:t>
      </w:r>
      <w:r>
        <w:rPr>
          <w:rFonts w:ascii="Thames" w:hAnsi="Thames" w:cs="Thames"/>
          <w:color w:val="000000"/>
          <w:sz w:val="22"/>
        </w:rPr>
        <w:t xml:space="preserve"> range of (26.03 - 55.88) cm. </w:t>
      </w:r>
      <w:r w:rsidRPr="007C3D8D">
        <w:rPr>
          <w:rFonts w:ascii="Thames" w:hAnsi="Thames" w:cs="Thames"/>
          <w:color w:val="000000"/>
          <w:sz w:val="22"/>
        </w:rPr>
        <w:t xml:space="preserve"> The results of all calculations for the estimated equatio</w:t>
      </w:r>
      <w:r>
        <w:rPr>
          <w:rFonts w:ascii="Thames" w:hAnsi="Thames" w:cs="Thames"/>
          <w:color w:val="000000"/>
          <w:sz w:val="22"/>
        </w:rPr>
        <w:t xml:space="preserve">ns have been compared with many </w:t>
      </w:r>
      <w:r w:rsidRPr="007C3D8D">
        <w:rPr>
          <w:rFonts w:ascii="Thames" w:hAnsi="Thames" w:cs="Thames"/>
          <w:color w:val="000000"/>
          <w:sz w:val="22"/>
        </w:rPr>
        <w:t>documented experimental literatures. This comparison gave a very good agreement, and has been represented in curves. The results from Ergun equation using similar conditions have been represented in the curves for the sake of comparison.</w:t>
      </w: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EB3E9B" w:rsidRDefault="00966624" w:rsidP="00966624">
      <w:pPr>
        <w:ind w:firstLine="0"/>
        <w:rPr>
          <w:sz w:val="22"/>
        </w:rPr>
      </w:pPr>
      <w:r w:rsidRPr="00EB3E9B">
        <w:rPr>
          <w:sz w:val="22"/>
        </w:rPr>
        <w:t>TWG has performed an extensive evaluation of the above referenced published article utilizing the QFFM.  We commence our eva</w:t>
      </w:r>
      <w:r w:rsidR="00ED5268" w:rsidRPr="00EB3E9B">
        <w:rPr>
          <w:sz w:val="22"/>
        </w:rPr>
        <w:t>luation of the paper with an in-</w:t>
      </w:r>
      <w:r w:rsidRPr="00EB3E9B">
        <w:rPr>
          <w:sz w:val="22"/>
        </w:rPr>
        <w:t>depth analysis of the reported data.</w:t>
      </w:r>
    </w:p>
    <w:p w14:paraId="33D29FAE" w14:textId="77777777" w:rsidR="00966624" w:rsidRDefault="00966624" w:rsidP="00814BB6">
      <w:pPr>
        <w:pStyle w:val="Body"/>
        <w:jc w:val="center"/>
        <w:rPr>
          <w:b/>
          <w:szCs w:val="24"/>
        </w:rPr>
      </w:pPr>
    </w:p>
    <w:p w14:paraId="4CE77399" w14:textId="77777777" w:rsidR="0001294D" w:rsidRDefault="0001294D" w:rsidP="00EB3E9B">
      <w:pPr>
        <w:ind w:firstLine="0"/>
        <w:rPr>
          <w:sz w:val="20"/>
          <w:szCs w:val="20"/>
        </w:rPr>
      </w:pPr>
    </w:p>
    <w:p w14:paraId="565A8A7D" w14:textId="691A168E" w:rsidR="00B308B8" w:rsidRDefault="00B40C70" w:rsidP="004F5BF8">
      <w:pPr>
        <w:ind w:firstLine="0"/>
        <w:rPr>
          <w:sz w:val="20"/>
          <w:szCs w:val="20"/>
        </w:rPr>
      </w:pPr>
      <w:r w:rsidRPr="00EB3E9B">
        <w:rPr>
          <w:sz w:val="22"/>
        </w:rPr>
        <w:t>As shown in our Fig.</w:t>
      </w:r>
      <w:r w:rsidR="00ED5268" w:rsidRPr="00EB3E9B">
        <w:rPr>
          <w:sz w:val="22"/>
        </w:rPr>
        <w:t xml:space="preserve"> </w:t>
      </w:r>
      <w:r w:rsidR="00C702AE" w:rsidRPr="00EB3E9B">
        <w:rPr>
          <w:sz w:val="22"/>
        </w:rPr>
        <w:t>A</w:t>
      </w:r>
      <w:r w:rsidR="00CB5CDE">
        <w:rPr>
          <w:sz w:val="22"/>
        </w:rPr>
        <w:t xml:space="preserve">, the measured pressure and flow </w:t>
      </w:r>
      <w:r w:rsidR="00394A74">
        <w:rPr>
          <w:sz w:val="22"/>
        </w:rPr>
        <w:t>rate</w:t>
      </w:r>
      <w:r w:rsidR="00394A74" w:rsidRPr="00EB3E9B">
        <w:rPr>
          <w:sz w:val="22"/>
        </w:rPr>
        <w:t xml:space="preserve"> </w:t>
      </w:r>
      <w:r w:rsidR="00394A74">
        <w:rPr>
          <w:sz w:val="22"/>
        </w:rPr>
        <w:t>combination</w:t>
      </w:r>
      <w:r w:rsidR="00CB5CDE">
        <w:rPr>
          <w:sz w:val="22"/>
        </w:rPr>
        <w:t xml:space="preserve"> </w:t>
      </w:r>
      <w:r w:rsidRPr="00EB3E9B">
        <w:rPr>
          <w:sz w:val="22"/>
        </w:rPr>
        <w:t>values f</w:t>
      </w:r>
      <w:r w:rsidR="00CB5CDE">
        <w:rPr>
          <w:sz w:val="22"/>
        </w:rPr>
        <w:t>or the flow conduit experiments</w:t>
      </w:r>
      <w:r w:rsidRPr="00EB3E9B">
        <w:rPr>
          <w:sz w:val="22"/>
        </w:rPr>
        <w:t xml:space="preserve"> do not compute when evaluated </w:t>
      </w:r>
      <w:r w:rsidR="00792570" w:rsidRPr="00EB3E9B">
        <w:rPr>
          <w:sz w:val="22"/>
        </w:rPr>
        <w:t xml:space="preserve">in the </w:t>
      </w:r>
      <w:r w:rsidR="00792570" w:rsidRPr="00EB3E9B">
        <w:rPr>
          <w:sz w:val="22"/>
          <w:u w:val="single"/>
        </w:rPr>
        <w:t xml:space="preserve">dimensional </w:t>
      </w:r>
      <w:r w:rsidR="004F5BF8" w:rsidRPr="00EB3E9B">
        <w:rPr>
          <w:sz w:val="22"/>
          <w:u w:val="single"/>
        </w:rPr>
        <w:t xml:space="preserve">format </w:t>
      </w:r>
      <w:r w:rsidR="004F5BF8" w:rsidRPr="00EB3E9B">
        <w:rPr>
          <w:sz w:val="22"/>
        </w:rPr>
        <w:t>of</w:t>
      </w:r>
      <w:r w:rsidR="00792570" w:rsidRPr="00EB3E9B">
        <w:rPr>
          <w:sz w:val="22"/>
        </w:rPr>
        <w:t xml:space="preserve"> the QFFM</w:t>
      </w:r>
      <w:r w:rsidR="00CB5CDE">
        <w:rPr>
          <w:sz w:val="22"/>
        </w:rPr>
        <w:t xml:space="preserve"> against the conduit experimental variables reported in the paper</w:t>
      </w:r>
      <w:r w:rsidRPr="00EB3E9B">
        <w:rPr>
          <w:sz w:val="22"/>
        </w:rPr>
        <w:t xml:space="preserve">. </w:t>
      </w:r>
      <w:r w:rsidR="00CB5CDE">
        <w:rPr>
          <w:sz w:val="22"/>
        </w:rPr>
        <w:t>We have included in our plots all the data reported in Fig, 1, 2 and 3 in the paper. As can be seen the measured pressures are higher than what our QFFM dictates for the reported underlying conduit and fluid properties.</w:t>
      </w:r>
    </w:p>
    <w:p w14:paraId="31EACF74" w14:textId="77777777" w:rsidR="00EB3E9B" w:rsidRDefault="00EB3E9B" w:rsidP="00B308B8">
      <w:pPr>
        <w:rPr>
          <w:sz w:val="20"/>
          <w:szCs w:val="20"/>
        </w:rPr>
      </w:pPr>
    </w:p>
    <w:p w14:paraId="1825525C" w14:textId="77777777" w:rsidR="00EB3E9B" w:rsidRDefault="00EB3E9B" w:rsidP="00B308B8">
      <w:pPr>
        <w:rPr>
          <w:sz w:val="20"/>
          <w:szCs w:val="20"/>
        </w:rPr>
      </w:pPr>
    </w:p>
    <w:p w14:paraId="6AD55641" w14:textId="77777777" w:rsidR="00EB3E9B" w:rsidRDefault="00EB3E9B" w:rsidP="00B308B8">
      <w:pPr>
        <w:rPr>
          <w:sz w:val="20"/>
          <w:szCs w:val="20"/>
        </w:rPr>
      </w:pPr>
    </w:p>
    <w:p w14:paraId="155AFCB8" w14:textId="77777777" w:rsidR="00EB3E9B" w:rsidRDefault="00EB3E9B" w:rsidP="00B308B8">
      <w:pPr>
        <w:rPr>
          <w:sz w:val="20"/>
          <w:szCs w:val="20"/>
        </w:rPr>
      </w:pPr>
    </w:p>
    <w:p w14:paraId="5E9DD11E" w14:textId="77777777" w:rsidR="00EB3E9B" w:rsidRDefault="00EB3E9B" w:rsidP="00B308B8">
      <w:pPr>
        <w:rPr>
          <w:sz w:val="20"/>
          <w:szCs w:val="20"/>
        </w:rPr>
      </w:pPr>
    </w:p>
    <w:p w14:paraId="676C6787" w14:textId="77777777" w:rsidR="00EB3E9B" w:rsidRDefault="00EB3E9B" w:rsidP="00B308B8">
      <w:pPr>
        <w:rPr>
          <w:sz w:val="20"/>
          <w:szCs w:val="20"/>
        </w:rPr>
      </w:pPr>
    </w:p>
    <w:p w14:paraId="44CC9B02" w14:textId="77777777" w:rsidR="00EB3E9B" w:rsidRDefault="00EB3E9B" w:rsidP="00B308B8">
      <w:pPr>
        <w:rPr>
          <w:sz w:val="20"/>
          <w:szCs w:val="20"/>
        </w:rPr>
      </w:pPr>
    </w:p>
    <w:p w14:paraId="786363F4" w14:textId="77777777" w:rsidR="00EB3E9B" w:rsidRDefault="00EB3E9B" w:rsidP="00B308B8">
      <w:pPr>
        <w:rPr>
          <w:sz w:val="20"/>
          <w:szCs w:val="20"/>
        </w:rPr>
      </w:pPr>
    </w:p>
    <w:p w14:paraId="17FE8BBE" w14:textId="77777777" w:rsidR="00EB3E9B" w:rsidRDefault="00EB3E9B" w:rsidP="00B308B8">
      <w:pPr>
        <w:rPr>
          <w:sz w:val="20"/>
          <w:szCs w:val="20"/>
        </w:rPr>
      </w:pPr>
    </w:p>
    <w:p w14:paraId="1B43B47E" w14:textId="77777777" w:rsidR="00EB3E9B" w:rsidRDefault="00EB3E9B" w:rsidP="00B308B8">
      <w:pPr>
        <w:rPr>
          <w:sz w:val="20"/>
          <w:szCs w:val="20"/>
        </w:rPr>
      </w:pPr>
    </w:p>
    <w:p w14:paraId="0F700FA8" w14:textId="77777777" w:rsidR="00EB3E9B" w:rsidRDefault="00EB3E9B" w:rsidP="00B308B8">
      <w:pPr>
        <w:rPr>
          <w:sz w:val="20"/>
          <w:szCs w:val="20"/>
        </w:rPr>
      </w:pPr>
    </w:p>
    <w:p w14:paraId="59155741" w14:textId="77777777" w:rsidR="00EB3E9B" w:rsidRDefault="00EB3E9B" w:rsidP="00B308B8">
      <w:pPr>
        <w:rPr>
          <w:sz w:val="20"/>
          <w:szCs w:val="20"/>
        </w:rPr>
      </w:pPr>
    </w:p>
    <w:p w14:paraId="22C12D6F" w14:textId="77777777" w:rsidR="00EB3E9B" w:rsidRDefault="00EB3E9B" w:rsidP="00B308B8">
      <w:pPr>
        <w:rPr>
          <w:sz w:val="20"/>
          <w:szCs w:val="20"/>
        </w:rPr>
      </w:pPr>
    </w:p>
    <w:p w14:paraId="67F8C67A" w14:textId="77777777" w:rsidR="00EB3E9B" w:rsidRDefault="00EB3E9B" w:rsidP="00B308B8">
      <w:pPr>
        <w:rPr>
          <w:sz w:val="20"/>
          <w:szCs w:val="20"/>
        </w:rPr>
      </w:pPr>
    </w:p>
    <w:p w14:paraId="4DE31747" w14:textId="77777777" w:rsidR="00EB3E9B" w:rsidRDefault="00EB3E9B" w:rsidP="00B308B8">
      <w:pPr>
        <w:rPr>
          <w:sz w:val="20"/>
          <w:szCs w:val="20"/>
        </w:rPr>
      </w:pPr>
    </w:p>
    <w:p w14:paraId="1C00DA48" w14:textId="77777777" w:rsidR="00EB3E9B" w:rsidRDefault="00EB3E9B" w:rsidP="00B308B8">
      <w:pPr>
        <w:rPr>
          <w:sz w:val="20"/>
          <w:szCs w:val="20"/>
        </w:rPr>
      </w:pPr>
    </w:p>
    <w:p w14:paraId="30FD1E8D" w14:textId="77777777" w:rsidR="00ED16BB" w:rsidRDefault="00ED16BB" w:rsidP="00B308B8">
      <w:pPr>
        <w:rPr>
          <w:sz w:val="20"/>
          <w:szCs w:val="20"/>
        </w:rPr>
      </w:pPr>
    </w:p>
    <w:p w14:paraId="7989CB67" w14:textId="77777777" w:rsidR="00ED16BB" w:rsidRDefault="00ED16BB" w:rsidP="00B308B8">
      <w:pPr>
        <w:rPr>
          <w:sz w:val="20"/>
          <w:szCs w:val="20"/>
        </w:rPr>
      </w:pPr>
    </w:p>
    <w:p w14:paraId="6A7FD12C" w14:textId="52ADCD7C" w:rsidR="00B308B8" w:rsidRPr="00ED16BB" w:rsidRDefault="00B308B8" w:rsidP="00B308B8">
      <w:pPr>
        <w:rPr>
          <w:sz w:val="20"/>
          <w:szCs w:val="20"/>
        </w:rPr>
      </w:pPr>
      <w:r w:rsidRPr="00ED16BB">
        <w:rPr>
          <w:b/>
          <w:szCs w:val="24"/>
        </w:rPr>
        <w:lastRenderedPageBreak/>
        <w:t xml:space="preserve">Fig. </w:t>
      </w:r>
      <w:r w:rsidR="00ED16BB">
        <w:rPr>
          <w:b/>
          <w:szCs w:val="24"/>
        </w:rPr>
        <w:t>A</w:t>
      </w:r>
      <w:r w:rsidRPr="00ED16BB">
        <w:rPr>
          <w:sz w:val="20"/>
          <w:szCs w:val="20"/>
        </w:rPr>
        <w:t xml:space="preserve"> </w:t>
      </w:r>
    </w:p>
    <w:p w14:paraId="4488772D" w14:textId="77777777" w:rsidR="001B7DE8" w:rsidRPr="00933A92" w:rsidRDefault="001B7DE8" w:rsidP="00B308B8">
      <w:pPr>
        <w:rPr>
          <w:sz w:val="20"/>
          <w:szCs w:val="20"/>
        </w:rPr>
      </w:pPr>
    </w:p>
    <w:p w14:paraId="4250CC4B" w14:textId="4385055B" w:rsidR="00B308B8" w:rsidRDefault="00EB3E9B">
      <w:pPr>
        <w:rPr>
          <w:noProof/>
        </w:rPr>
      </w:pPr>
      <w:r>
        <w:rPr>
          <w:noProof/>
        </w:rPr>
        <w:drawing>
          <wp:inline distT="0" distB="0" distL="0" distR="0" wp14:anchorId="612B3DB6" wp14:editId="7FA02B0F">
            <wp:extent cx="5991225" cy="35718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FE0379" w14:textId="77777777" w:rsidR="00F536B3" w:rsidRDefault="00F536B3">
      <w:pPr>
        <w:rPr>
          <w:noProof/>
        </w:rPr>
      </w:pPr>
    </w:p>
    <w:p w14:paraId="5CD819D6" w14:textId="7F9C8242" w:rsidR="00F536B3" w:rsidRDefault="00F536B3">
      <w:pPr>
        <w:rPr>
          <w:noProof/>
        </w:rPr>
      </w:pPr>
    </w:p>
    <w:p w14:paraId="6964219F" w14:textId="77777777" w:rsidR="00F536B3" w:rsidRDefault="00F536B3">
      <w:pPr>
        <w:rPr>
          <w:noProof/>
        </w:rPr>
      </w:pPr>
    </w:p>
    <w:p w14:paraId="416ACCC5" w14:textId="690FFE22" w:rsidR="00F536B3" w:rsidRDefault="00F536B3">
      <w:pPr>
        <w:rPr>
          <w:noProof/>
        </w:rPr>
      </w:pPr>
    </w:p>
    <w:p w14:paraId="393E6CA5" w14:textId="2D11DDD1" w:rsidR="00F536B3" w:rsidRDefault="005625C1">
      <w:pPr>
        <w:rPr>
          <w:noProof/>
        </w:rPr>
      </w:pPr>
      <w:r>
        <w:rPr>
          <w:noProof/>
        </w:rPr>
        <w:drawing>
          <wp:inline distT="0" distB="0" distL="0" distR="0" wp14:anchorId="217764E2" wp14:editId="52FA5749">
            <wp:extent cx="5829300" cy="357187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DC25E5" w14:textId="2A770598" w:rsidR="00F536B3" w:rsidRDefault="005625C1">
      <w:pPr>
        <w:rPr>
          <w:noProof/>
        </w:rPr>
      </w:pPr>
      <w:r>
        <w:rPr>
          <w:noProof/>
        </w:rPr>
        <w:lastRenderedPageBreak/>
        <w:drawing>
          <wp:inline distT="0" distB="0" distL="0" distR="0" wp14:anchorId="331E5416" wp14:editId="5109CB99">
            <wp:extent cx="6115050" cy="35718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1B8670" w14:textId="77777777" w:rsidR="006436D8" w:rsidRDefault="006436D8" w:rsidP="009F702A">
      <w:pPr>
        <w:rPr>
          <w:sz w:val="20"/>
          <w:szCs w:val="20"/>
        </w:rPr>
      </w:pPr>
    </w:p>
    <w:p w14:paraId="41F484EB" w14:textId="77777777" w:rsidR="001C57DB" w:rsidRDefault="001C57DB" w:rsidP="009F702A">
      <w:pPr>
        <w:rPr>
          <w:sz w:val="20"/>
          <w:szCs w:val="20"/>
        </w:rPr>
      </w:pPr>
    </w:p>
    <w:p w14:paraId="7FD48811" w14:textId="77777777" w:rsidR="001C57DB" w:rsidRDefault="001C57DB" w:rsidP="009F702A">
      <w:pPr>
        <w:rPr>
          <w:sz w:val="20"/>
          <w:szCs w:val="20"/>
        </w:rPr>
      </w:pPr>
    </w:p>
    <w:p w14:paraId="405BA26A" w14:textId="0DF7055A" w:rsidR="00ED5268" w:rsidRPr="00307440" w:rsidRDefault="00ED5268" w:rsidP="00260A48">
      <w:pPr>
        <w:rPr>
          <w:sz w:val="22"/>
        </w:rPr>
      </w:pPr>
      <w:r w:rsidRPr="00307440">
        <w:rPr>
          <w:sz w:val="22"/>
        </w:rPr>
        <w:t xml:space="preserve">In Fig. B herein, we have provided our validation of the </w:t>
      </w:r>
      <w:r w:rsidR="00394A74" w:rsidRPr="00307440">
        <w:rPr>
          <w:sz w:val="22"/>
        </w:rPr>
        <w:t>papers</w:t>
      </w:r>
      <w:r w:rsidRPr="00307440">
        <w:rPr>
          <w:sz w:val="22"/>
        </w:rPr>
        <w:t xml:space="preserve"> corrected data by a comparison of the data to Quinn’s La</w:t>
      </w:r>
      <w:r w:rsidR="00C236CE">
        <w:rPr>
          <w:sz w:val="22"/>
        </w:rPr>
        <w:t>w</w:t>
      </w:r>
      <w:r w:rsidRPr="00307440">
        <w:rPr>
          <w:sz w:val="22"/>
        </w:rPr>
        <w:t>. This normalized relationship is presented herein in the form of a plot of P</w:t>
      </w:r>
      <w:r w:rsidRPr="00307440">
        <w:rPr>
          <w:sz w:val="22"/>
          <w:vertAlign w:val="subscript"/>
        </w:rPr>
        <w:t>Q</w:t>
      </w:r>
      <w:r w:rsidRPr="00307440">
        <w:rPr>
          <w:sz w:val="22"/>
        </w:rPr>
        <w:t xml:space="preserve"> versus Q</w:t>
      </w:r>
      <w:r w:rsidRPr="00307440">
        <w:rPr>
          <w:sz w:val="22"/>
          <w:vertAlign w:val="subscript"/>
        </w:rPr>
        <w:t xml:space="preserve">C, </w:t>
      </w:r>
      <w:r w:rsidRPr="00307440">
        <w:rPr>
          <w:sz w:val="22"/>
        </w:rPr>
        <w:t>which</w:t>
      </w:r>
      <w:r w:rsidRPr="00307440">
        <w:rPr>
          <w:sz w:val="22"/>
          <w:vertAlign w:val="subscript"/>
        </w:rPr>
        <w:t xml:space="preserve"> </w:t>
      </w:r>
      <w:r w:rsidRPr="00307440">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307440">
        <w:rPr>
          <w:i/>
          <w:sz w:val="22"/>
        </w:rPr>
        <w:t>linear</w:t>
      </w:r>
      <w:r w:rsidR="00274038" w:rsidRPr="00307440">
        <w:rPr>
          <w:sz w:val="22"/>
        </w:rPr>
        <w:t>. However,</w:t>
      </w:r>
      <w:r w:rsidRPr="00307440">
        <w:rPr>
          <w:sz w:val="22"/>
        </w:rPr>
        <w:t xml:space="preserve"> we chose to present it as a </w:t>
      </w:r>
      <w:r w:rsidRPr="00307440">
        <w:rPr>
          <w:i/>
          <w:sz w:val="22"/>
        </w:rPr>
        <w:t>log-log plot</w:t>
      </w:r>
      <w:r w:rsidRPr="00307440">
        <w:rPr>
          <w:sz w:val="22"/>
        </w:rPr>
        <w:t xml:space="preserve"> herein to provide emphasis at both extremes of the fluid flow regime. This plot is based upon both our own experimental data and </w:t>
      </w:r>
      <w:r w:rsidRPr="00307440">
        <w:rPr>
          <w:i/>
          <w:sz w:val="22"/>
        </w:rPr>
        <w:t>independent accepted classical reference data</w:t>
      </w:r>
      <w:r w:rsidRPr="00307440">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307440">
        <w:rPr>
          <w:sz w:val="22"/>
          <w:vertAlign w:val="subscript"/>
        </w:rPr>
        <w:t>Q</w:t>
      </w:r>
      <w:r w:rsidRPr="00307440">
        <w:rPr>
          <w:sz w:val="22"/>
        </w:rPr>
        <w:t xml:space="preserve"> versus Q</w:t>
      </w:r>
      <w:r w:rsidRPr="00307440">
        <w:rPr>
          <w:sz w:val="22"/>
          <w:vertAlign w:val="subscript"/>
        </w:rPr>
        <w:t xml:space="preserve">C , </w:t>
      </w:r>
      <w:r w:rsidRPr="00307440">
        <w:rPr>
          <w:sz w:val="22"/>
        </w:rPr>
        <w:t>lines up perfectly with Quinn’s Law</w:t>
      </w:r>
    </w:p>
    <w:p w14:paraId="167297D9" w14:textId="77777777" w:rsidR="00ED5268" w:rsidRDefault="00ED5268" w:rsidP="009F702A">
      <w:pPr>
        <w:rPr>
          <w:sz w:val="20"/>
          <w:szCs w:val="20"/>
        </w:rPr>
      </w:pPr>
    </w:p>
    <w:p w14:paraId="24E46105" w14:textId="77777777" w:rsidR="00F536B3" w:rsidRDefault="00F536B3" w:rsidP="009F702A">
      <w:pPr>
        <w:rPr>
          <w:sz w:val="20"/>
          <w:szCs w:val="20"/>
        </w:rPr>
      </w:pPr>
    </w:p>
    <w:p w14:paraId="70B0E9AE" w14:textId="77777777" w:rsidR="00ED16BB" w:rsidRDefault="00ED16BB" w:rsidP="009F702A">
      <w:pPr>
        <w:rPr>
          <w:sz w:val="20"/>
          <w:szCs w:val="20"/>
        </w:rPr>
      </w:pPr>
    </w:p>
    <w:p w14:paraId="4E01BE08" w14:textId="77777777" w:rsidR="00ED16BB" w:rsidRDefault="00ED16BB" w:rsidP="009F702A">
      <w:pPr>
        <w:rPr>
          <w:sz w:val="20"/>
          <w:szCs w:val="20"/>
        </w:rPr>
      </w:pPr>
    </w:p>
    <w:p w14:paraId="33E4227B" w14:textId="77777777" w:rsidR="00ED16BB" w:rsidRDefault="00ED16BB" w:rsidP="009F702A">
      <w:pPr>
        <w:rPr>
          <w:sz w:val="20"/>
          <w:szCs w:val="20"/>
        </w:rPr>
      </w:pPr>
    </w:p>
    <w:p w14:paraId="520B9FE6" w14:textId="77777777" w:rsidR="00ED16BB" w:rsidRDefault="00ED16BB" w:rsidP="009F702A">
      <w:pPr>
        <w:rPr>
          <w:sz w:val="20"/>
          <w:szCs w:val="20"/>
        </w:rPr>
      </w:pPr>
    </w:p>
    <w:p w14:paraId="230224E1" w14:textId="77777777" w:rsidR="00ED16BB" w:rsidRDefault="00ED16BB" w:rsidP="009F702A">
      <w:pPr>
        <w:rPr>
          <w:sz w:val="20"/>
          <w:szCs w:val="20"/>
        </w:rPr>
      </w:pPr>
    </w:p>
    <w:p w14:paraId="244D9BEA" w14:textId="77777777" w:rsidR="00ED16BB" w:rsidRDefault="00ED16BB" w:rsidP="009F702A">
      <w:pPr>
        <w:rPr>
          <w:sz w:val="20"/>
          <w:szCs w:val="20"/>
        </w:rPr>
      </w:pPr>
    </w:p>
    <w:p w14:paraId="5063211F" w14:textId="77777777" w:rsidR="00ED16BB" w:rsidRDefault="00ED16BB" w:rsidP="009F702A">
      <w:pPr>
        <w:rPr>
          <w:sz w:val="20"/>
          <w:szCs w:val="20"/>
        </w:rPr>
      </w:pPr>
    </w:p>
    <w:p w14:paraId="05FA762F" w14:textId="77777777" w:rsidR="00ED16BB" w:rsidRDefault="00ED16BB" w:rsidP="009F702A">
      <w:pPr>
        <w:rPr>
          <w:sz w:val="20"/>
          <w:szCs w:val="20"/>
        </w:rPr>
      </w:pPr>
    </w:p>
    <w:p w14:paraId="7494AD55" w14:textId="77777777" w:rsidR="00ED16BB" w:rsidRDefault="00ED16BB" w:rsidP="009F702A">
      <w:pPr>
        <w:rPr>
          <w:sz w:val="20"/>
          <w:szCs w:val="20"/>
        </w:rPr>
      </w:pPr>
    </w:p>
    <w:p w14:paraId="06CA81EE" w14:textId="77777777" w:rsidR="00ED16BB" w:rsidRDefault="00ED16BB" w:rsidP="009F702A">
      <w:pPr>
        <w:rPr>
          <w:sz w:val="20"/>
          <w:szCs w:val="20"/>
        </w:rPr>
      </w:pPr>
    </w:p>
    <w:p w14:paraId="21E73817" w14:textId="77777777" w:rsidR="00ED16BB" w:rsidRDefault="00ED16BB" w:rsidP="009F702A">
      <w:pPr>
        <w:rPr>
          <w:sz w:val="20"/>
          <w:szCs w:val="20"/>
        </w:rPr>
      </w:pPr>
    </w:p>
    <w:p w14:paraId="3E5F9FC6" w14:textId="77777777" w:rsidR="00ED16BB" w:rsidRDefault="00ED16BB" w:rsidP="009F702A">
      <w:pPr>
        <w:rPr>
          <w:sz w:val="20"/>
          <w:szCs w:val="20"/>
        </w:rPr>
      </w:pPr>
    </w:p>
    <w:p w14:paraId="75814B77" w14:textId="77777777" w:rsidR="00ED16BB" w:rsidRDefault="00ED16BB" w:rsidP="009F702A">
      <w:pPr>
        <w:rPr>
          <w:sz w:val="20"/>
          <w:szCs w:val="20"/>
        </w:rPr>
      </w:pPr>
    </w:p>
    <w:p w14:paraId="686ACA24" w14:textId="77777777" w:rsidR="00F536B3" w:rsidRDefault="00F536B3" w:rsidP="009F702A">
      <w:pPr>
        <w:rPr>
          <w:sz w:val="20"/>
          <w:szCs w:val="20"/>
        </w:rPr>
      </w:pPr>
    </w:p>
    <w:p w14:paraId="4538236B" w14:textId="77777777" w:rsidR="00FA0A28" w:rsidRPr="00ED16BB" w:rsidRDefault="00C621CC" w:rsidP="009F702A">
      <w:pPr>
        <w:rPr>
          <w:b/>
          <w:szCs w:val="24"/>
        </w:rPr>
      </w:pPr>
      <w:r w:rsidRPr="00ED16BB">
        <w:rPr>
          <w:b/>
          <w:szCs w:val="24"/>
        </w:rPr>
        <w:lastRenderedPageBreak/>
        <w:t xml:space="preserve">Fig. </w:t>
      </w:r>
      <w:r w:rsidR="002100E4" w:rsidRPr="00ED16BB">
        <w:rPr>
          <w:b/>
          <w:szCs w:val="24"/>
        </w:rPr>
        <w:t>B</w:t>
      </w:r>
    </w:p>
    <w:p w14:paraId="15B39392" w14:textId="77777777" w:rsidR="00D00C59" w:rsidRDefault="00D00C59" w:rsidP="004F5BF8">
      <w:pPr>
        <w:ind w:firstLine="0"/>
        <w:rPr>
          <w:sz w:val="20"/>
          <w:szCs w:val="20"/>
        </w:rPr>
      </w:pPr>
    </w:p>
    <w:p w14:paraId="2530F765" w14:textId="51626929" w:rsidR="00C621CC" w:rsidRDefault="00C621CC" w:rsidP="009F702A">
      <w:pPr>
        <w:ind w:firstLine="0"/>
        <w:rPr>
          <w:noProof/>
        </w:rPr>
      </w:pPr>
    </w:p>
    <w:p w14:paraId="476924EF" w14:textId="6BF4A656" w:rsidR="00F536B3" w:rsidRDefault="00ED16BB" w:rsidP="009F702A">
      <w:pPr>
        <w:ind w:firstLine="0"/>
        <w:rPr>
          <w:noProof/>
        </w:rPr>
      </w:pPr>
      <w:r>
        <w:rPr>
          <w:noProof/>
        </w:rPr>
        <w:drawing>
          <wp:inline distT="0" distB="0" distL="0" distR="0" wp14:anchorId="239E2B27" wp14:editId="1C43B250">
            <wp:extent cx="6591526" cy="521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93305" cy="5221109"/>
                    </a:xfrm>
                    <a:prstGeom prst="rect">
                      <a:avLst/>
                    </a:prstGeom>
                  </pic:spPr>
                </pic:pic>
              </a:graphicData>
            </a:graphic>
          </wp:inline>
        </w:drawing>
      </w:r>
    </w:p>
    <w:p w14:paraId="24184814" w14:textId="77777777" w:rsidR="00F536B3" w:rsidRDefault="00F536B3" w:rsidP="009F702A">
      <w:pPr>
        <w:ind w:firstLine="0"/>
        <w:rPr>
          <w:noProof/>
        </w:rPr>
      </w:pPr>
    </w:p>
    <w:p w14:paraId="3D55BB87" w14:textId="77777777" w:rsidR="00630FCC" w:rsidRDefault="00630FCC" w:rsidP="00C621CC">
      <w:pPr>
        <w:ind w:firstLine="0"/>
        <w:rPr>
          <w:sz w:val="20"/>
          <w:szCs w:val="20"/>
        </w:rPr>
      </w:pPr>
    </w:p>
    <w:p w14:paraId="2E295E5B" w14:textId="3196D147" w:rsidR="00B40BD4" w:rsidRPr="006F2FE5" w:rsidRDefault="00630FCC" w:rsidP="005C5A4B">
      <w:pPr>
        <w:ind w:firstLine="0"/>
        <w:rPr>
          <w:sz w:val="22"/>
        </w:rPr>
      </w:pPr>
      <w:r w:rsidRPr="006F2FE5">
        <w:rPr>
          <w:sz w:val="22"/>
        </w:rPr>
        <w:t xml:space="preserve">[Note: we do not herein provide the back-up for the validation of the </w:t>
      </w:r>
      <w:r w:rsidR="00352A4D" w:rsidRPr="006F2FE5">
        <w:rPr>
          <w:sz w:val="22"/>
        </w:rPr>
        <w:t xml:space="preserve">plot of Quinn’s Law depicted in our </w:t>
      </w:r>
      <w:r w:rsidR="00260A48" w:rsidRPr="006F2FE5">
        <w:rPr>
          <w:sz w:val="22"/>
        </w:rPr>
        <w:t>Fig. B. For a description of the</w:t>
      </w:r>
      <w:r w:rsidR="00352A4D" w:rsidRPr="006F2FE5">
        <w:rPr>
          <w:sz w:val="22"/>
        </w:rPr>
        <w:t xml:space="preserve"> sources, both personal to TWG and from independent accepted classical references, </w:t>
      </w:r>
      <w:r w:rsidR="00260A48" w:rsidRPr="006F2FE5">
        <w:rPr>
          <w:sz w:val="22"/>
        </w:rPr>
        <w:t xml:space="preserve">on the basis of which the Quinn’s Law plot was validated, </w:t>
      </w:r>
      <w:r w:rsidR="00352A4D" w:rsidRPr="006F2FE5">
        <w:rPr>
          <w:sz w:val="22"/>
        </w:rPr>
        <w:t xml:space="preserve">see </w:t>
      </w:r>
      <w:r w:rsidR="00274038" w:rsidRPr="006F2FE5">
        <w:rPr>
          <w:sz w:val="22"/>
        </w:rPr>
        <w:t>the general introduction to this</w:t>
      </w:r>
      <w:r w:rsidR="00352A4D" w:rsidRPr="006F2FE5">
        <w:rPr>
          <w:sz w:val="22"/>
        </w:rPr>
        <w:t xml:space="preserve"> Universal Published Paper Review</w:t>
      </w:r>
      <w:r w:rsidR="00274038" w:rsidRPr="006F2FE5">
        <w:rPr>
          <w:sz w:val="22"/>
        </w:rPr>
        <w:t xml:space="preserve"> tab</w:t>
      </w:r>
      <w:r w:rsidR="006436D8" w:rsidRPr="006F2FE5">
        <w:rPr>
          <w:sz w:val="22"/>
        </w:rPr>
        <w:t>.</w:t>
      </w:r>
    </w:p>
    <w:p w14:paraId="4689CEAE" w14:textId="77777777" w:rsidR="00A42F85" w:rsidRPr="00933A92" w:rsidRDefault="00A42F85" w:rsidP="005C5A4B">
      <w:pPr>
        <w:ind w:firstLine="0"/>
        <w:rPr>
          <w:sz w:val="20"/>
          <w:szCs w:val="20"/>
        </w:rPr>
      </w:pPr>
    </w:p>
    <w:p w14:paraId="5541F0BD" w14:textId="77777777" w:rsidR="00307440" w:rsidRDefault="003D0C73" w:rsidP="003D0C73">
      <w:pPr>
        <w:ind w:firstLine="0"/>
        <w:rPr>
          <w:sz w:val="20"/>
          <w:szCs w:val="20"/>
        </w:rPr>
      </w:pPr>
      <w:r w:rsidRPr="00933A92">
        <w:rPr>
          <w:sz w:val="20"/>
          <w:szCs w:val="20"/>
        </w:rPr>
        <w:t xml:space="preserve">                       </w:t>
      </w:r>
    </w:p>
    <w:p w14:paraId="45FCB2E1" w14:textId="77777777" w:rsidR="00307440" w:rsidRDefault="00307440" w:rsidP="003D0C73">
      <w:pPr>
        <w:ind w:firstLine="0"/>
        <w:rPr>
          <w:sz w:val="20"/>
          <w:szCs w:val="20"/>
        </w:rPr>
      </w:pPr>
    </w:p>
    <w:p w14:paraId="0A6743E6" w14:textId="77777777" w:rsidR="00307440" w:rsidRDefault="00307440" w:rsidP="003D0C73">
      <w:pPr>
        <w:ind w:firstLine="0"/>
        <w:rPr>
          <w:sz w:val="20"/>
          <w:szCs w:val="20"/>
        </w:rPr>
      </w:pPr>
    </w:p>
    <w:p w14:paraId="36A48015" w14:textId="77777777" w:rsidR="00307440" w:rsidRDefault="00307440" w:rsidP="003D0C73">
      <w:pPr>
        <w:ind w:firstLine="0"/>
        <w:rPr>
          <w:sz w:val="20"/>
          <w:szCs w:val="20"/>
        </w:rPr>
      </w:pPr>
    </w:p>
    <w:p w14:paraId="5FD281F0" w14:textId="77777777" w:rsidR="00307440" w:rsidRDefault="00307440" w:rsidP="003D0C73">
      <w:pPr>
        <w:ind w:firstLine="0"/>
        <w:rPr>
          <w:sz w:val="20"/>
          <w:szCs w:val="20"/>
        </w:rPr>
      </w:pPr>
    </w:p>
    <w:p w14:paraId="29CFCC00" w14:textId="77777777" w:rsidR="00307440" w:rsidRDefault="00307440" w:rsidP="003D0C73">
      <w:pPr>
        <w:ind w:firstLine="0"/>
        <w:rPr>
          <w:sz w:val="20"/>
          <w:szCs w:val="20"/>
        </w:rPr>
      </w:pPr>
    </w:p>
    <w:p w14:paraId="477C363D" w14:textId="5DBD65F1" w:rsidR="00307440" w:rsidRDefault="003D0C73" w:rsidP="003D0C73">
      <w:pPr>
        <w:ind w:firstLine="0"/>
        <w:rPr>
          <w:sz w:val="20"/>
          <w:szCs w:val="20"/>
        </w:rPr>
      </w:pPr>
      <w:r w:rsidRPr="00933A92">
        <w:rPr>
          <w:sz w:val="20"/>
          <w:szCs w:val="20"/>
        </w:rPr>
        <w:t xml:space="preserve">                                         </w:t>
      </w:r>
    </w:p>
    <w:p w14:paraId="04158FA5" w14:textId="0339A37F" w:rsidR="005C05D4" w:rsidRDefault="003D0C73" w:rsidP="00307440">
      <w:pPr>
        <w:ind w:firstLine="0"/>
        <w:jc w:val="center"/>
        <w:rPr>
          <w:b/>
          <w:szCs w:val="24"/>
        </w:rPr>
      </w:pPr>
      <w:r w:rsidRPr="00933A92">
        <w:rPr>
          <w:sz w:val="20"/>
          <w:szCs w:val="20"/>
        </w:rPr>
        <w:t xml:space="preserve">           </w:t>
      </w:r>
      <w:r w:rsidR="00641B67" w:rsidRPr="00933A92">
        <w:rPr>
          <w:b/>
          <w:szCs w:val="24"/>
        </w:rPr>
        <w:t>Conclusion.</w:t>
      </w:r>
    </w:p>
    <w:p w14:paraId="5E9A1E58" w14:textId="77777777" w:rsidR="00307440" w:rsidRPr="00933A92" w:rsidRDefault="00307440" w:rsidP="00307440">
      <w:pPr>
        <w:ind w:firstLine="0"/>
        <w:jc w:val="center"/>
        <w:rPr>
          <w:b/>
          <w:szCs w:val="24"/>
        </w:rPr>
      </w:pPr>
    </w:p>
    <w:p w14:paraId="4A346477" w14:textId="44D169FD" w:rsidR="005C05D4" w:rsidRPr="00307440" w:rsidRDefault="00B1373A" w:rsidP="00BE1E85">
      <w:pPr>
        <w:ind w:firstLine="720"/>
        <w:rPr>
          <w:i/>
          <w:sz w:val="22"/>
        </w:rPr>
      </w:pPr>
      <w:r w:rsidRPr="00307440">
        <w:rPr>
          <w:sz w:val="22"/>
        </w:rPr>
        <w:t>We conclude that the results in this paper</w:t>
      </w:r>
      <w:r w:rsidR="00727ED4" w:rsidRPr="00307440">
        <w:rPr>
          <w:sz w:val="22"/>
        </w:rPr>
        <w:t xml:space="preserve"> suffer </w:t>
      </w:r>
      <w:r w:rsidR="004E0F26" w:rsidRPr="00307440">
        <w:rPr>
          <w:sz w:val="22"/>
        </w:rPr>
        <w:t>from deficiencies</w:t>
      </w:r>
      <w:r w:rsidR="00727ED4" w:rsidRPr="00307440">
        <w:rPr>
          <w:sz w:val="22"/>
        </w:rPr>
        <w:t xml:space="preserve"> in</w:t>
      </w:r>
      <w:r w:rsidRPr="00307440">
        <w:rPr>
          <w:sz w:val="22"/>
        </w:rPr>
        <w:t xml:space="preserve"> the experimental protocols used in the experiments. As a result, there is a mismatch between the measured variables and the measured pressure drop. This mismatch is only </w:t>
      </w:r>
      <w:r w:rsidRPr="00307440">
        <w:rPr>
          <w:i/>
          <w:sz w:val="22"/>
        </w:rPr>
        <w:t>apparent</w:t>
      </w:r>
      <w:r w:rsidR="000828DA" w:rsidRPr="00307440">
        <w:rPr>
          <w:i/>
          <w:sz w:val="22"/>
        </w:rPr>
        <w:t xml:space="preserve"> and quantifiable</w:t>
      </w:r>
      <w:r w:rsidRPr="00307440">
        <w:rPr>
          <w:sz w:val="22"/>
        </w:rPr>
        <w:t xml:space="preserve"> in </w:t>
      </w:r>
      <w:r w:rsidR="000828DA" w:rsidRPr="00307440">
        <w:rPr>
          <w:sz w:val="22"/>
        </w:rPr>
        <w:t>the context of the</w:t>
      </w:r>
      <w:r w:rsidRPr="00307440">
        <w:rPr>
          <w:sz w:val="22"/>
        </w:rPr>
        <w:t xml:space="preserve"> QFFM and</w:t>
      </w:r>
      <w:r w:rsidR="000828DA" w:rsidRPr="00307440">
        <w:rPr>
          <w:sz w:val="22"/>
        </w:rPr>
        <w:t>, therefore,</w:t>
      </w:r>
      <w:r w:rsidRPr="00307440">
        <w:rPr>
          <w:sz w:val="22"/>
        </w:rPr>
        <w:t xml:space="preserve"> can only be corrected using this model. </w:t>
      </w:r>
      <w:r w:rsidR="001007F0" w:rsidRPr="00307440">
        <w:rPr>
          <w:sz w:val="22"/>
        </w:rPr>
        <w:t xml:space="preserve">Accordingly, since the authors did not have access to Quinn’s Law when they wrote the paper, they </w:t>
      </w:r>
      <w:r w:rsidR="005019D3" w:rsidRPr="00307440">
        <w:rPr>
          <w:i/>
          <w:sz w:val="22"/>
        </w:rPr>
        <w:t xml:space="preserve">could not have </w:t>
      </w:r>
      <w:r w:rsidR="005019D3" w:rsidRPr="00307440">
        <w:rPr>
          <w:sz w:val="22"/>
        </w:rPr>
        <w:t>corrected</w:t>
      </w:r>
      <w:r w:rsidR="001007F0" w:rsidRPr="00307440">
        <w:rPr>
          <w:sz w:val="22"/>
        </w:rPr>
        <w:t xml:space="preserve"> the data before</w:t>
      </w:r>
      <w:r w:rsidR="00727ED4" w:rsidRPr="00307440">
        <w:rPr>
          <w:sz w:val="22"/>
        </w:rPr>
        <w:t xml:space="preserve"> attempting to rationalize it </w:t>
      </w:r>
      <w:r w:rsidR="004E0F26" w:rsidRPr="00307440">
        <w:rPr>
          <w:sz w:val="22"/>
        </w:rPr>
        <w:t>by</w:t>
      </w:r>
      <w:r w:rsidR="004030A4">
        <w:rPr>
          <w:sz w:val="22"/>
        </w:rPr>
        <w:t xml:space="preserve"> comparing it to </w:t>
      </w:r>
      <w:r w:rsidR="001007F0" w:rsidRPr="00307440">
        <w:rPr>
          <w:sz w:val="22"/>
        </w:rPr>
        <w:t>the</w:t>
      </w:r>
      <w:r w:rsidR="004030A4">
        <w:rPr>
          <w:sz w:val="22"/>
        </w:rPr>
        <w:t xml:space="preserve"> models of Ergun</w:t>
      </w:r>
      <w:r w:rsidR="001007F0" w:rsidRPr="00307440">
        <w:rPr>
          <w:sz w:val="22"/>
        </w:rPr>
        <w:t xml:space="preserve">. </w:t>
      </w:r>
      <w:r w:rsidR="00E05F1B" w:rsidRPr="00307440">
        <w:rPr>
          <w:sz w:val="22"/>
        </w:rPr>
        <w:t>This</w:t>
      </w:r>
      <w:r w:rsidR="003021F0" w:rsidRPr="00307440">
        <w:rPr>
          <w:sz w:val="22"/>
        </w:rPr>
        <w:t xml:space="preserve"> inherent</w:t>
      </w:r>
      <w:r w:rsidR="00E05F1B" w:rsidRPr="00307440">
        <w:rPr>
          <w:sz w:val="22"/>
        </w:rPr>
        <w:t xml:space="preserve"> tendency to </w:t>
      </w:r>
      <w:r w:rsidR="00E05F1B" w:rsidRPr="00307440">
        <w:rPr>
          <w:i/>
          <w:sz w:val="22"/>
        </w:rPr>
        <w:t>modify</w:t>
      </w:r>
      <w:r w:rsidR="00E05F1B" w:rsidRPr="00307440">
        <w:rPr>
          <w:sz w:val="22"/>
        </w:rPr>
        <w:t xml:space="preserve"> existing equations</w:t>
      </w:r>
      <w:r w:rsidR="00854C31" w:rsidRPr="00307440">
        <w:rPr>
          <w:sz w:val="22"/>
        </w:rPr>
        <w:t xml:space="preserve"> to correlate </w:t>
      </w:r>
      <w:r w:rsidR="00854C31" w:rsidRPr="00307440">
        <w:rPr>
          <w:i/>
          <w:sz w:val="22"/>
        </w:rPr>
        <w:t>unsubstantiated</w:t>
      </w:r>
      <w:r w:rsidR="00854C31" w:rsidRPr="00307440">
        <w:rPr>
          <w:sz w:val="22"/>
        </w:rPr>
        <w:t xml:space="preserve"> empirical measurements</w:t>
      </w:r>
      <w:r w:rsidR="00E05F1B" w:rsidRPr="00307440">
        <w:rPr>
          <w:sz w:val="22"/>
        </w:rPr>
        <w:t xml:space="preserve"> has long since contributed to the confusion that exists in this field of study  and has</w:t>
      </w:r>
      <w:r w:rsidR="003021F0" w:rsidRPr="00307440">
        <w:rPr>
          <w:sz w:val="22"/>
        </w:rPr>
        <w:t xml:space="preserve"> had</w:t>
      </w:r>
      <w:r w:rsidR="00E05F1B" w:rsidRPr="00307440">
        <w:rPr>
          <w:sz w:val="22"/>
        </w:rPr>
        <w:t xml:space="preserve"> a tendency to create the </w:t>
      </w:r>
      <w:r w:rsidR="00E05F1B" w:rsidRPr="00307440">
        <w:rPr>
          <w:i/>
          <w:sz w:val="22"/>
        </w:rPr>
        <w:t>false illusion</w:t>
      </w:r>
      <w:r w:rsidR="003021F0" w:rsidRPr="00307440">
        <w:rPr>
          <w:sz w:val="22"/>
        </w:rPr>
        <w:t xml:space="preserve"> that these so-called conventional equations are of some </w:t>
      </w:r>
      <w:r w:rsidR="003021F0" w:rsidRPr="00307440">
        <w:rPr>
          <w:i/>
          <w:sz w:val="22"/>
        </w:rPr>
        <w:t xml:space="preserve">value </w:t>
      </w:r>
      <w:r w:rsidR="003021F0" w:rsidRPr="00307440">
        <w:rPr>
          <w:sz w:val="22"/>
        </w:rPr>
        <w:t>when</w:t>
      </w:r>
      <w:r w:rsidR="009C1C7E" w:rsidRPr="00307440">
        <w:rPr>
          <w:sz w:val="22"/>
        </w:rPr>
        <w:t>,</w:t>
      </w:r>
      <w:r w:rsidR="003021F0" w:rsidRPr="00307440">
        <w:rPr>
          <w:sz w:val="22"/>
        </w:rPr>
        <w:t xml:space="preserve"> in reality</w:t>
      </w:r>
      <w:r w:rsidR="009C1C7E" w:rsidRPr="00307440">
        <w:rPr>
          <w:sz w:val="22"/>
        </w:rPr>
        <w:t>,</w:t>
      </w:r>
      <w:r w:rsidR="003021F0" w:rsidRPr="00307440">
        <w:rPr>
          <w:sz w:val="22"/>
        </w:rPr>
        <w:t xml:space="preserve"> they are nothing more than </w:t>
      </w:r>
      <w:r w:rsidR="003021F0" w:rsidRPr="00307440">
        <w:rPr>
          <w:i/>
          <w:sz w:val="22"/>
        </w:rPr>
        <w:t xml:space="preserve">invalid </w:t>
      </w:r>
      <w:r w:rsidR="003021F0" w:rsidRPr="00307440">
        <w:rPr>
          <w:sz w:val="22"/>
        </w:rPr>
        <w:t>relationships.</w:t>
      </w:r>
    </w:p>
    <w:p w14:paraId="56FEF38F" w14:textId="77777777" w:rsidR="00AC301C" w:rsidRPr="00307440" w:rsidRDefault="00AC301C" w:rsidP="005C5A4B">
      <w:pPr>
        <w:ind w:firstLine="0"/>
        <w:rPr>
          <w:b/>
          <w:sz w:val="22"/>
        </w:rPr>
      </w:pPr>
    </w:p>
    <w:p w14:paraId="0DD295FC" w14:textId="0099729F" w:rsidR="001D5288" w:rsidRPr="00307440" w:rsidRDefault="00727ED4" w:rsidP="00EB2390">
      <w:pPr>
        <w:ind w:firstLine="0"/>
        <w:rPr>
          <w:sz w:val="22"/>
        </w:rPr>
      </w:pPr>
      <w:r w:rsidRPr="00307440">
        <w:rPr>
          <w:sz w:val="22"/>
        </w:rPr>
        <w:t>Moreover, e</w:t>
      </w:r>
      <w:r w:rsidR="003865F8" w:rsidRPr="00307440">
        <w:rPr>
          <w:sz w:val="22"/>
        </w:rPr>
        <w:t>ven if the authors applied the classical</w:t>
      </w:r>
      <w:r w:rsidR="00FF102F" w:rsidRPr="00307440">
        <w:rPr>
          <w:sz w:val="22"/>
          <w:u w:val="single"/>
        </w:rPr>
        <w:t xml:space="preserve"> unmodified</w:t>
      </w:r>
      <w:r w:rsidR="003865F8" w:rsidRPr="00307440">
        <w:rPr>
          <w:sz w:val="22"/>
        </w:rPr>
        <w:t xml:space="preserve"> equations of Ergun, f</w:t>
      </w:r>
      <w:r w:rsidR="00C309ED" w:rsidRPr="00307440">
        <w:rPr>
          <w:sz w:val="22"/>
        </w:rPr>
        <w:t>or instance, or their own newly-</w:t>
      </w:r>
      <w:r w:rsidR="003865F8" w:rsidRPr="00307440">
        <w:rPr>
          <w:sz w:val="22"/>
        </w:rPr>
        <w:t>minted</w:t>
      </w:r>
      <w:r w:rsidR="00FF102F" w:rsidRPr="00307440">
        <w:rPr>
          <w:sz w:val="22"/>
          <w:u w:val="single"/>
        </w:rPr>
        <w:t xml:space="preserve"> </w:t>
      </w:r>
      <w:r w:rsidR="00C309ED" w:rsidRPr="00307440">
        <w:rPr>
          <w:sz w:val="22"/>
          <w:u w:val="single"/>
        </w:rPr>
        <w:t>modified</w:t>
      </w:r>
      <w:r w:rsidR="00C309ED" w:rsidRPr="00307440">
        <w:rPr>
          <w:sz w:val="22"/>
        </w:rPr>
        <w:t xml:space="preserve"> Ergun </w:t>
      </w:r>
      <w:r w:rsidR="003865F8" w:rsidRPr="00307440">
        <w:rPr>
          <w:sz w:val="22"/>
        </w:rPr>
        <w:t xml:space="preserve">equation, they could not </w:t>
      </w:r>
      <w:r w:rsidR="002B40D8" w:rsidRPr="00307440">
        <w:rPr>
          <w:sz w:val="22"/>
        </w:rPr>
        <w:t xml:space="preserve">have </w:t>
      </w:r>
      <w:r w:rsidR="003865F8" w:rsidRPr="00307440">
        <w:rPr>
          <w:sz w:val="22"/>
        </w:rPr>
        <w:t>generate</w:t>
      </w:r>
      <w:r w:rsidR="002B40D8" w:rsidRPr="00307440">
        <w:rPr>
          <w:sz w:val="22"/>
        </w:rPr>
        <w:t>d</w:t>
      </w:r>
      <w:r w:rsidR="006D3A03" w:rsidRPr="00307440">
        <w:rPr>
          <w:sz w:val="22"/>
        </w:rPr>
        <w:t xml:space="preserve"> </w:t>
      </w:r>
      <w:r w:rsidR="006D3A03" w:rsidRPr="00307440">
        <w:rPr>
          <w:i/>
          <w:sz w:val="22"/>
        </w:rPr>
        <w:t>the</w:t>
      </w:r>
      <w:r w:rsidR="003865F8" w:rsidRPr="00307440">
        <w:rPr>
          <w:i/>
          <w:sz w:val="22"/>
        </w:rPr>
        <w:t xml:space="preserve"> </w:t>
      </w:r>
      <w:r w:rsidR="003865F8" w:rsidRPr="00307440">
        <w:rPr>
          <w:sz w:val="22"/>
        </w:rPr>
        <w:t>match</w:t>
      </w:r>
      <w:r w:rsidR="006D3A03" w:rsidRPr="00307440">
        <w:rPr>
          <w:sz w:val="22"/>
        </w:rPr>
        <w:t xml:space="preserve"> inherent in the Laws of Nature</w:t>
      </w:r>
      <w:r w:rsidR="003865F8" w:rsidRPr="00307440">
        <w:rPr>
          <w:sz w:val="22"/>
        </w:rPr>
        <w:t xml:space="preserve"> between the calculated pressure drops of their chosen</w:t>
      </w:r>
      <w:r w:rsidR="006D3A03" w:rsidRPr="00307440">
        <w:rPr>
          <w:sz w:val="22"/>
        </w:rPr>
        <w:t xml:space="preserve"> </w:t>
      </w:r>
      <w:r w:rsidR="003865F8" w:rsidRPr="00307440">
        <w:rPr>
          <w:sz w:val="22"/>
        </w:rPr>
        <w:t>equation and the</w:t>
      </w:r>
      <w:r w:rsidR="00C309ED" w:rsidRPr="00307440">
        <w:rPr>
          <w:sz w:val="22"/>
        </w:rPr>
        <w:t>ir own</w:t>
      </w:r>
      <w:r w:rsidR="003865F8" w:rsidRPr="00307440">
        <w:rPr>
          <w:sz w:val="22"/>
        </w:rPr>
        <w:t xml:space="preserve"> measured pressure drop</w:t>
      </w:r>
      <w:r w:rsidR="002966C1" w:rsidRPr="00307440">
        <w:rPr>
          <w:sz w:val="22"/>
        </w:rPr>
        <w:t>s</w:t>
      </w:r>
      <w:r w:rsidR="00C309ED" w:rsidRPr="00307440">
        <w:rPr>
          <w:sz w:val="22"/>
        </w:rPr>
        <w:t xml:space="preserve"> – </w:t>
      </w:r>
      <w:r w:rsidR="003865F8" w:rsidRPr="00307440">
        <w:rPr>
          <w:sz w:val="22"/>
        </w:rPr>
        <w:t>unless</w:t>
      </w:r>
      <w:r w:rsidR="00C309ED" w:rsidRPr="00307440">
        <w:rPr>
          <w:sz w:val="22"/>
        </w:rPr>
        <w:t xml:space="preserve">, of </w:t>
      </w:r>
      <w:r w:rsidR="004E0F26" w:rsidRPr="00307440">
        <w:rPr>
          <w:sz w:val="22"/>
        </w:rPr>
        <w:t>course, they</w:t>
      </w:r>
      <w:r w:rsidR="003865F8" w:rsidRPr="00307440">
        <w:rPr>
          <w:sz w:val="22"/>
        </w:rPr>
        <w:t xml:space="preserve"> had</w:t>
      </w:r>
      <w:r w:rsidR="00A84D1A" w:rsidRPr="00307440">
        <w:rPr>
          <w:sz w:val="22"/>
        </w:rPr>
        <w:t xml:space="preserve"> </w:t>
      </w:r>
      <w:r w:rsidR="004F5BF8" w:rsidRPr="00307440">
        <w:rPr>
          <w:sz w:val="22"/>
        </w:rPr>
        <w:t>serendipitously</w:t>
      </w:r>
      <w:r w:rsidR="002B40D8" w:rsidRPr="00307440">
        <w:rPr>
          <w:sz w:val="22"/>
        </w:rPr>
        <w:t>, or otherwise,</w:t>
      </w:r>
      <w:r w:rsidR="003865F8" w:rsidRPr="00307440">
        <w:rPr>
          <w:sz w:val="22"/>
        </w:rPr>
        <w:t xml:space="preserve"> </w:t>
      </w:r>
      <w:r w:rsidR="00A84D1A" w:rsidRPr="00307440">
        <w:rPr>
          <w:sz w:val="22"/>
        </w:rPr>
        <w:t>identified</w:t>
      </w:r>
      <w:r w:rsidR="003865F8" w:rsidRPr="00307440">
        <w:rPr>
          <w:sz w:val="22"/>
        </w:rPr>
        <w:t xml:space="preserve"> the same</w:t>
      </w:r>
      <w:r w:rsidR="005505D1" w:rsidRPr="00307440">
        <w:rPr>
          <w:sz w:val="22"/>
        </w:rPr>
        <w:t xml:space="preserve"> </w:t>
      </w:r>
      <w:r w:rsidR="005505D1" w:rsidRPr="00307440">
        <w:rPr>
          <w:i/>
          <w:sz w:val="22"/>
        </w:rPr>
        <w:t>unique</w:t>
      </w:r>
      <w:r w:rsidR="00FF102F" w:rsidRPr="00307440">
        <w:rPr>
          <w:sz w:val="22"/>
        </w:rPr>
        <w:t xml:space="preserve"> </w:t>
      </w:r>
      <w:r w:rsidR="003865F8" w:rsidRPr="00307440">
        <w:rPr>
          <w:sz w:val="22"/>
        </w:rPr>
        <w:t xml:space="preserve">equation as that embedded in the QFFM. </w:t>
      </w:r>
    </w:p>
    <w:p w14:paraId="62D0A0A3" w14:textId="77777777" w:rsidR="00727ED4" w:rsidRPr="00307440" w:rsidRDefault="00727ED4" w:rsidP="00EB2390">
      <w:pPr>
        <w:ind w:firstLine="0"/>
        <w:rPr>
          <w:sz w:val="22"/>
        </w:rPr>
      </w:pPr>
    </w:p>
    <w:p w14:paraId="78AF80FA" w14:textId="77777777" w:rsidR="00727ED4" w:rsidRPr="00307440" w:rsidRDefault="00727ED4" w:rsidP="00BE1E85">
      <w:pPr>
        <w:ind w:firstLine="0"/>
        <w:rPr>
          <w:sz w:val="22"/>
        </w:rPr>
      </w:pPr>
    </w:p>
    <w:p w14:paraId="7FF3E902" w14:textId="19FDEE39" w:rsidR="00727ED4" w:rsidRPr="00307440" w:rsidRDefault="00727ED4" w:rsidP="00727ED4">
      <w:pPr>
        <w:ind w:firstLine="0"/>
        <w:rPr>
          <w:sz w:val="22"/>
        </w:rPr>
      </w:pPr>
      <w:r w:rsidRPr="00307440">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307440">
        <w:rPr>
          <w:sz w:val="22"/>
        </w:rPr>
        <w:t>the</w:t>
      </w:r>
      <w:r w:rsidRPr="00307440">
        <w:rPr>
          <w:sz w:val="22"/>
        </w:rPr>
        <w:t xml:space="preserve"> QFFM prescribes need to be </w:t>
      </w:r>
      <w:r w:rsidR="004E0F26" w:rsidRPr="00307440">
        <w:rPr>
          <w:sz w:val="22"/>
        </w:rPr>
        <w:t>corrected, is</w:t>
      </w:r>
      <w:r w:rsidRPr="00307440">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Pr="00307440" w:rsidRDefault="00C76D50" w:rsidP="00C76D50">
      <w:pPr>
        <w:rPr>
          <w:sz w:val="22"/>
        </w:rPr>
      </w:pPr>
    </w:p>
    <w:p w14:paraId="47CB951B" w14:textId="77777777" w:rsidR="00C76D50" w:rsidRPr="00C76D50" w:rsidRDefault="00C76D50" w:rsidP="00C76D50">
      <w:pPr>
        <w:rPr>
          <w:szCs w:val="24"/>
        </w:rPr>
      </w:pPr>
    </w:p>
    <w:sectPr w:rsidR="00C76D50" w:rsidRPr="00C76D50" w:rsidSect="00366DA5">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0068A" w14:textId="77777777" w:rsidR="004A204F" w:rsidRDefault="004A204F" w:rsidP="00C451C1">
      <w:r>
        <w:separator/>
      </w:r>
    </w:p>
  </w:endnote>
  <w:endnote w:type="continuationSeparator" w:id="0">
    <w:p w14:paraId="6F2C0553" w14:textId="77777777" w:rsidR="004A204F" w:rsidRDefault="004A204F" w:rsidP="00C451C1">
      <w:r>
        <w:continuationSeparator/>
      </w:r>
    </w:p>
  </w:endnote>
  <w:endnote w:type="continuationNotice" w:id="1">
    <w:p w14:paraId="3D27FE04" w14:textId="77777777" w:rsidR="004A204F" w:rsidRDefault="004A2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ames">
    <w:panose1 w:val="00000000000000000000"/>
    <w:charset w:val="00"/>
    <w:family w:val="swiss"/>
    <w:notTrueType/>
    <w:pitch w:val="default"/>
    <w:sig w:usb0="00000003" w:usb1="00000000" w:usb2="00000000" w:usb3="00000000" w:csb0="00000001" w:csb1="00000000"/>
  </w:font>
  <w:font w:name="Symbol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7F182735" w:rsidR="00405986" w:rsidRDefault="00EF4C61" w:rsidP="001F348A">
    <w:pPr>
      <w:pStyle w:val="Footer"/>
      <w:tabs>
        <w:tab w:val="clear" w:pos="4680"/>
        <w:tab w:val="left" w:pos="0"/>
      </w:tabs>
    </w:pPr>
    <w:r>
      <w:t>5</w:t>
    </w:r>
    <w:r w:rsidR="00756776">
      <w:t>/</w:t>
    </w:r>
    <w:r w:rsidR="00C36452">
      <w:t>26</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340E24">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340E24">
      <w:rPr>
        <w:b/>
        <w:noProof/>
      </w:rPr>
      <w:t>6</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E8EC1" w14:textId="77777777" w:rsidR="004A204F" w:rsidRDefault="004A204F" w:rsidP="00C451C1">
      <w:r>
        <w:separator/>
      </w:r>
    </w:p>
  </w:footnote>
  <w:footnote w:type="continuationSeparator" w:id="0">
    <w:p w14:paraId="4E47D09C" w14:textId="77777777" w:rsidR="004A204F" w:rsidRDefault="004A204F" w:rsidP="00C451C1">
      <w:r>
        <w:continuationSeparator/>
      </w:r>
    </w:p>
  </w:footnote>
  <w:footnote w:type="continuationNotice" w:id="1">
    <w:p w14:paraId="02C0D64D" w14:textId="77777777" w:rsidR="004A204F" w:rsidRDefault="004A2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071"/>
    <w:rsid w:val="000C6894"/>
    <w:rsid w:val="000E1D17"/>
    <w:rsid w:val="001007F0"/>
    <w:rsid w:val="00101E48"/>
    <w:rsid w:val="0010226A"/>
    <w:rsid w:val="00104242"/>
    <w:rsid w:val="00110B23"/>
    <w:rsid w:val="00130367"/>
    <w:rsid w:val="0013197A"/>
    <w:rsid w:val="00133B3F"/>
    <w:rsid w:val="001357FA"/>
    <w:rsid w:val="00150740"/>
    <w:rsid w:val="0015091C"/>
    <w:rsid w:val="001515A6"/>
    <w:rsid w:val="00161909"/>
    <w:rsid w:val="00191FD4"/>
    <w:rsid w:val="001A01EB"/>
    <w:rsid w:val="001A0D5F"/>
    <w:rsid w:val="001A2E56"/>
    <w:rsid w:val="001A745F"/>
    <w:rsid w:val="001B7DE8"/>
    <w:rsid w:val="001C19D4"/>
    <w:rsid w:val="001C2B61"/>
    <w:rsid w:val="001C57DB"/>
    <w:rsid w:val="001D5288"/>
    <w:rsid w:val="001D775F"/>
    <w:rsid w:val="001D7A98"/>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369B"/>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07440"/>
    <w:rsid w:val="00312229"/>
    <w:rsid w:val="003279D1"/>
    <w:rsid w:val="0033324D"/>
    <w:rsid w:val="003406A1"/>
    <w:rsid w:val="00340E24"/>
    <w:rsid w:val="003429BE"/>
    <w:rsid w:val="0034592A"/>
    <w:rsid w:val="00347B31"/>
    <w:rsid w:val="00352A4D"/>
    <w:rsid w:val="003625BB"/>
    <w:rsid w:val="00366CC4"/>
    <w:rsid w:val="00366DA5"/>
    <w:rsid w:val="0036709E"/>
    <w:rsid w:val="00372671"/>
    <w:rsid w:val="00381DB7"/>
    <w:rsid w:val="00385C7E"/>
    <w:rsid w:val="003865F8"/>
    <w:rsid w:val="00394A74"/>
    <w:rsid w:val="003A639D"/>
    <w:rsid w:val="003A7A3D"/>
    <w:rsid w:val="003B3683"/>
    <w:rsid w:val="003B38FE"/>
    <w:rsid w:val="003C53D6"/>
    <w:rsid w:val="003D0C73"/>
    <w:rsid w:val="003E4587"/>
    <w:rsid w:val="003E478A"/>
    <w:rsid w:val="003E6B0E"/>
    <w:rsid w:val="003F094B"/>
    <w:rsid w:val="003F1805"/>
    <w:rsid w:val="003F3DEE"/>
    <w:rsid w:val="003F4E38"/>
    <w:rsid w:val="003F5524"/>
    <w:rsid w:val="00400F3F"/>
    <w:rsid w:val="004030A4"/>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A204F"/>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25C1"/>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2FE5"/>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51B6"/>
    <w:rsid w:val="007B1704"/>
    <w:rsid w:val="007C0756"/>
    <w:rsid w:val="007C3D8D"/>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486D"/>
    <w:rsid w:val="00877204"/>
    <w:rsid w:val="008857B1"/>
    <w:rsid w:val="00887F03"/>
    <w:rsid w:val="00892F59"/>
    <w:rsid w:val="00894973"/>
    <w:rsid w:val="008958BD"/>
    <w:rsid w:val="008B0F85"/>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36CE"/>
    <w:rsid w:val="00C26BBB"/>
    <w:rsid w:val="00C307F9"/>
    <w:rsid w:val="00C309ED"/>
    <w:rsid w:val="00C35F21"/>
    <w:rsid w:val="00C36452"/>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5CDE"/>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04C"/>
    <w:rsid w:val="00EA2907"/>
    <w:rsid w:val="00EA2C75"/>
    <w:rsid w:val="00EA6B41"/>
    <w:rsid w:val="00EA6C8F"/>
    <w:rsid w:val="00EB052B"/>
    <w:rsid w:val="00EB2390"/>
    <w:rsid w:val="00EB23F5"/>
    <w:rsid w:val="00EB3E9B"/>
    <w:rsid w:val="00EB4A48"/>
    <w:rsid w:val="00EC0692"/>
    <w:rsid w:val="00EC39DC"/>
    <w:rsid w:val="00ED10E4"/>
    <w:rsid w:val="00ED16BB"/>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1</a:t>
            </a:r>
          </a:p>
        </c:rich>
      </c:tx>
      <c:overlay val="0"/>
    </c:title>
    <c:autoTitleDeleted val="0"/>
    <c:plotArea>
      <c:layout/>
      <c:scatterChart>
        <c:scatterStyle val="lineMarker"/>
        <c:varyColors val="0"/>
        <c:ser>
          <c:idx val="1"/>
          <c:order val="1"/>
          <c:tx>
            <c:v>Measured</c:v>
          </c:tx>
          <c:spPr>
            <a:ln w="28575">
              <a:noFill/>
            </a:ln>
          </c:spPr>
          <c:xVal>
            <c:numRef>
              <c:f>Kareem!$DK$6:$DK$16</c:f>
              <c:numCache>
                <c:formatCode>0.000</c:formatCode>
                <c:ptCount val="11"/>
                <c:pt idx="0">
                  <c:v>1.6103928311752725E-9</c:v>
                </c:pt>
                <c:pt idx="1">
                  <c:v>3.220785662350545E-3</c:v>
                </c:pt>
                <c:pt idx="2">
                  <c:v>4.8311784935258176E-3</c:v>
                </c:pt>
                <c:pt idx="3">
                  <c:v>6.4415713247010899E-3</c:v>
                </c:pt>
                <c:pt idx="4">
                  <c:v>8.0519641558763622E-3</c:v>
                </c:pt>
                <c:pt idx="5">
                  <c:v>9.6623569870516353E-3</c:v>
                </c:pt>
                <c:pt idx="6">
                  <c:v>1.2E-2</c:v>
                </c:pt>
                <c:pt idx="7">
                  <c:v>1.288314264940218E-2</c:v>
                </c:pt>
                <c:pt idx="8">
                  <c:v>1.4493535480577453E-2</c:v>
                </c:pt>
                <c:pt idx="9">
                  <c:v>1.6103928311752724E-2</c:v>
                </c:pt>
                <c:pt idx="10">
                  <c:v>1.9999999999999837E-2</c:v>
                </c:pt>
              </c:numCache>
            </c:numRef>
          </c:xVal>
          <c:yVal>
            <c:numRef>
              <c:f>Kareem!$DR$6:$DR$16</c:f>
              <c:numCache>
                <c:formatCode>General</c:formatCode>
                <c:ptCount val="11"/>
                <c:pt idx="4" formatCode="#,##0">
                  <c:v>280</c:v>
                </c:pt>
                <c:pt idx="5" formatCode="#,##0">
                  <c:v>340</c:v>
                </c:pt>
                <c:pt idx="6" formatCode="#,##0">
                  <c:v>425</c:v>
                </c:pt>
                <c:pt idx="8" formatCode="#,##0">
                  <c:v>510</c:v>
                </c:pt>
                <c:pt idx="9" formatCode="#,##0">
                  <c:v>600</c:v>
                </c:pt>
                <c:pt idx="10" formatCode="#,##0">
                  <c:v>820</c:v>
                </c:pt>
              </c:numCache>
            </c:numRef>
          </c:yVal>
          <c:smooth val="0"/>
        </c:ser>
        <c:dLbls>
          <c:showLegendKey val="0"/>
          <c:showVal val="0"/>
          <c:showCatName val="0"/>
          <c:showSerName val="0"/>
          <c:showPercent val="0"/>
          <c:showBubbleSize val="0"/>
        </c:dLbls>
        <c:axId val="276347520"/>
        <c:axId val="310280960"/>
      </c:scatterChart>
      <c:scatterChart>
        <c:scatterStyle val="smoothMarker"/>
        <c:varyColors val="0"/>
        <c:ser>
          <c:idx val="0"/>
          <c:order val="0"/>
          <c:tx>
            <c:v>QFFM corrected</c:v>
          </c:tx>
          <c:marker>
            <c:symbol val="none"/>
          </c:marker>
          <c:xVal>
            <c:numRef>
              <c:f>Kareem!$DK$6:$DK$16</c:f>
              <c:numCache>
                <c:formatCode>0.000</c:formatCode>
                <c:ptCount val="11"/>
                <c:pt idx="0">
                  <c:v>1.6103928311752725E-9</c:v>
                </c:pt>
                <c:pt idx="1">
                  <c:v>3.220785662350545E-3</c:v>
                </c:pt>
                <c:pt idx="2">
                  <c:v>4.8311784935258176E-3</c:v>
                </c:pt>
                <c:pt idx="3">
                  <c:v>6.4415713247010899E-3</c:v>
                </c:pt>
                <c:pt idx="4">
                  <c:v>8.0519641558763622E-3</c:v>
                </c:pt>
                <c:pt idx="5">
                  <c:v>9.6623569870516353E-3</c:v>
                </c:pt>
                <c:pt idx="6">
                  <c:v>1.2E-2</c:v>
                </c:pt>
                <c:pt idx="7">
                  <c:v>1.288314264940218E-2</c:v>
                </c:pt>
                <c:pt idx="8">
                  <c:v>1.4493535480577453E-2</c:v>
                </c:pt>
                <c:pt idx="9">
                  <c:v>1.6103928311752724E-2</c:v>
                </c:pt>
                <c:pt idx="10">
                  <c:v>1.9999999999999837E-2</c:v>
                </c:pt>
              </c:numCache>
            </c:numRef>
          </c:xVal>
          <c:yVal>
            <c:numRef>
              <c:f>Kareem!$DQ$6:$DQ$16</c:f>
              <c:numCache>
                <c:formatCode>#,##0</c:formatCode>
                <c:ptCount val="11"/>
                <c:pt idx="0">
                  <c:v>7.7435511374546728E-6</c:v>
                </c:pt>
                <c:pt idx="1">
                  <c:v>26.53382821300271</c:v>
                </c:pt>
                <c:pt idx="2">
                  <c:v>48.085655601778129</c:v>
                </c:pt>
                <c:pt idx="3">
                  <c:v>75.16068797396494</c:v>
                </c:pt>
                <c:pt idx="4">
                  <c:v>107.75889468653573</c:v>
                </c:pt>
                <c:pt idx="5">
                  <c:v>145.88025337788034</c:v>
                </c:pt>
                <c:pt idx="6">
                  <c:v>211.04482344843106</c:v>
                </c:pt>
                <c:pt idx="7">
                  <c:v>238.69236129230273</c:v>
                </c:pt>
                <c:pt idx="8">
                  <c:v>293.38308539713887</c:v>
                </c:pt>
                <c:pt idx="9">
                  <c:v>353.59690958525965</c:v>
                </c:pt>
                <c:pt idx="10">
                  <c:v>522.11886166663703</c:v>
                </c:pt>
              </c:numCache>
            </c:numRef>
          </c:yVal>
          <c:smooth val="1"/>
        </c:ser>
        <c:dLbls>
          <c:showLegendKey val="0"/>
          <c:showVal val="0"/>
          <c:showCatName val="0"/>
          <c:showSerName val="0"/>
          <c:showPercent val="0"/>
          <c:showBubbleSize val="0"/>
        </c:dLbls>
        <c:axId val="276347520"/>
        <c:axId val="310280960"/>
      </c:scatterChart>
      <c:valAx>
        <c:axId val="276347520"/>
        <c:scaling>
          <c:orientation val="minMax"/>
          <c:max val="2.0000000000000004E-2"/>
          <c:min val="0"/>
        </c:scaling>
        <c:delete val="0"/>
        <c:axPos val="b"/>
        <c:majorGridlines/>
        <c:title>
          <c:tx>
            <c:rich>
              <a:bodyPr/>
              <a:lstStyle/>
              <a:p>
                <a:pPr>
                  <a:defRPr/>
                </a:pPr>
                <a:r>
                  <a:rPr lang="en-US">
                    <a:latin typeface="Symbol" pitchFamily="18" charset="2"/>
                  </a:rPr>
                  <a:t>m</a:t>
                </a:r>
                <a:r>
                  <a:rPr lang="en-US" baseline="-25000"/>
                  <a:t>s</a:t>
                </a:r>
                <a:r>
                  <a:rPr lang="en-US"/>
                  <a:t> (m/s)</a:t>
                </a:r>
              </a:p>
            </c:rich>
          </c:tx>
          <c:overlay val="0"/>
        </c:title>
        <c:numFmt formatCode="0.000" sourceLinked="1"/>
        <c:majorTickMark val="none"/>
        <c:minorTickMark val="none"/>
        <c:tickLblPos val="nextTo"/>
        <c:crossAx val="310280960"/>
        <c:crosses val="autoZero"/>
        <c:crossBetween val="midCat"/>
        <c:majorUnit val="2.0000000000000005E-3"/>
      </c:valAx>
      <c:valAx>
        <c:axId val="310280960"/>
        <c:scaling>
          <c:orientation val="minMax"/>
          <c:max val="900"/>
        </c:scaling>
        <c:delete val="0"/>
        <c:axPos val="l"/>
        <c:majorGridlines/>
        <c:title>
          <c:tx>
            <c:rich>
              <a:bodyPr rot="0" vert="horz"/>
              <a:lstStyle/>
              <a:p>
                <a:pPr>
                  <a:defRPr/>
                </a:pPr>
                <a:r>
                  <a:rPr lang="en-US">
                    <a:latin typeface="Symbol" pitchFamily="18" charset="2"/>
                  </a:rPr>
                  <a:t>D</a:t>
                </a:r>
                <a:r>
                  <a:rPr lang="en-US"/>
                  <a:t>P</a:t>
                </a:r>
              </a:p>
              <a:p>
                <a:pPr>
                  <a:defRPr/>
                </a:pPr>
                <a:r>
                  <a:rPr lang="en-US"/>
                  <a:t>(Pa)</a:t>
                </a:r>
              </a:p>
            </c:rich>
          </c:tx>
          <c:overlay val="0"/>
        </c:title>
        <c:numFmt formatCode="General" sourceLinked="1"/>
        <c:majorTickMark val="none"/>
        <c:minorTickMark val="none"/>
        <c:tickLblPos val="nextTo"/>
        <c:crossAx val="276347520"/>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2</a:t>
            </a:r>
          </a:p>
        </c:rich>
      </c:tx>
      <c:overlay val="0"/>
    </c:title>
    <c:autoTitleDeleted val="0"/>
    <c:plotArea>
      <c:layout/>
      <c:scatterChart>
        <c:scatterStyle val="lineMarker"/>
        <c:varyColors val="0"/>
        <c:ser>
          <c:idx val="1"/>
          <c:order val="1"/>
          <c:tx>
            <c:v>Measured</c:v>
          </c:tx>
          <c:spPr>
            <a:ln w="28575">
              <a:noFill/>
            </a:ln>
          </c:spPr>
          <c:xVal>
            <c:numRef>
              <c:f>Kareem!$DK$18:$DK$28</c:f>
              <c:numCache>
                <c:formatCode>0.000</c:formatCode>
                <c:ptCount val="11"/>
                <c:pt idx="0">
                  <c:v>1.6103928311752725E-9</c:v>
                </c:pt>
                <c:pt idx="1">
                  <c:v>3.220785662350545E-3</c:v>
                </c:pt>
                <c:pt idx="2">
                  <c:v>4.8311784935258176E-3</c:v>
                </c:pt>
                <c:pt idx="3">
                  <c:v>6.4415713247010899E-3</c:v>
                </c:pt>
                <c:pt idx="4">
                  <c:v>8.0519641558763622E-3</c:v>
                </c:pt>
                <c:pt idx="5">
                  <c:v>9.6623569870516353E-3</c:v>
                </c:pt>
                <c:pt idx="6">
                  <c:v>1.1272749818226908E-2</c:v>
                </c:pt>
                <c:pt idx="7">
                  <c:v>1.288314264940218E-2</c:v>
                </c:pt>
                <c:pt idx="8">
                  <c:v>1.4493535480577453E-2</c:v>
                </c:pt>
                <c:pt idx="9">
                  <c:v>1.6103928311752724E-2</c:v>
                </c:pt>
                <c:pt idx="10">
                  <c:v>1.9999999999999837E-2</c:v>
                </c:pt>
              </c:numCache>
            </c:numRef>
          </c:xVal>
          <c:yVal>
            <c:numRef>
              <c:f>Kareem!$DR$18:$DR$28</c:f>
              <c:numCache>
                <c:formatCode>General</c:formatCode>
                <c:ptCount val="11"/>
                <c:pt idx="5" formatCode="#,##0">
                  <c:v>270</c:v>
                </c:pt>
                <c:pt idx="6" formatCode="#,##0">
                  <c:v>295</c:v>
                </c:pt>
                <c:pt idx="7" formatCode="#,##0">
                  <c:v>330</c:v>
                </c:pt>
                <c:pt idx="8" formatCode="#,##0">
                  <c:v>370</c:v>
                </c:pt>
                <c:pt idx="9" formatCode="#,##0">
                  <c:v>425</c:v>
                </c:pt>
                <c:pt idx="10" formatCode="#,##0">
                  <c:v>500</c:v>
                </c:pt>
              </c:numCache>
            </c:numRef>
          </c:yVal>
          <c:smooth val="0"/>
        </c:ser>
        <c:dLbls>
          <c:showLegendKey val="0"/>
          <c:showVal val="0"/>
          <c:showCatName val="0"/>
          <c:showSerName val="0"/>
          <c:showPercent val="0"/>
          <c:showBubbleSize val="0"/>
        </c:dLbls>
        <c:axId val="305780992"/>
        <c:axId val="305783168"/>
      </c:scatterChart>
      <c:scatterChart>
        <c:scatterStyle val="smoothMarker"/>
        <c:varyColors val="0"/>
        <c:ser>
          <c:idx val="0"/>
          <c:order val="0"/>
          <c:tx>
            <c:v>QFFM corrected</c:v>
          </c:tx>
          <c:marker>
            <c:symbol val="none"/>
          </c:marker>
          <c:xVal>
            <c:numRef>
              <c:f>Kareem!$DK$18:$DK$28</c:f>
              <c:numCache>
                <c:formatCode>0.000</c:formatCode>
                <c:ptCount val="11"/>
                <c:pt idx="0">
                  <c:v>1.6103928311752725E-9</c:v>
                </c:pt>
                <c:pt idx="1">
                  <c:v>3.220785662350545E-3</c:v>
                </c:pt>
                <c:pt idx="2">
                  <c:v>4.8311784935258176E-3</c:v>
                </c:pt>
                <c:pt idx="3">
                  <c:v>6.4415713247010899E-3</c:v>
                </c:pt>
                <c:pt idx="4">
                  <c:v>8.0519641558763622E-3</c:v>
                </c:pt>
                <c:pt idx="5">
                  <c:v>9.6623569870516353E-3</c:v>
                </c:pt>
                <c:pt idx="6">
                  <c:v>1.1272749818226908E-2</c:v>
                </c:pt>
                <c:pt idx="7">
                  <c:v>1.288314264940218E-2</c:v>
                </c:pt>
                <c:pt idx="8">
                  <c:v>1.4493535480577453E-2</c:v>
                </c:pt>
                <c:pt idx="9">
                  <c:v>1.6103928311752724E-2</c:v>
                </c:pt>
                <c:pt idx="10">
                  <c:v>1.9999999999999837E-2</c:v>
                </c:pt>
              </c:numCache>
            </c:numRef>
          </c:xVal>
          <c:yVal>
            <c:numRef>
              <c:f>Kareem!$DQ$18:$DQ$28</c:f>
              <c:numCache>
                <c:formatCode>#,##0</c:formatCode>
                <c:ptCount val="11"/>
                <c:pt idx="0">
                  <c:v>8.4136366030639808E-6</c:v>
                </c:pt>
                <c:pt idx="1">
                  <c:v>28.077938944294846</c:v>
                </c:pt>
                <c:pt idx="2">
                  <c:v>50.554756420429946</c:v>
                </c:pt>
                <c:pt idx="3">
                  <c:v>78.656723207372707</c:v>
                </c:pt>
                <c:pt idx="4">
                  <c:v>112.38380281716263</c:v>
                </c:pt>
                <c:pt idx="5">
                  <c:v>151.73596847995057</c:v>
                </c:pt>
                <c:pt idx="6">
                  <c:v>196.71319952551016</c:v>
                </c:pt>
                <c:pt idx="7">
                  <c:v>247.31547938213188</c:v>
                </c:pt>
                <c:pt idx="8">
                  <c:v>303.54279437811584</c:v>
                </c:pt>
                <c:pt idx="9">
                  <c:v>365.39513297841427</c:v>
                </c:pt>
                <c:pt idx="10">
                  <c:v>538.30276279329678</c:v>
                </c:pt>
              </c:numCache>
            </c:numRef>
          </c:yVal>
          <c:smooth val="1"/>
        </c:ser>
        <c:dLbls>
          <c:showLegendKey val="0"/>
          <c:showVal val="0"/>
          <c:showCatName val="0"/>
          <c:showSerName val="0"/>
          <c:showPercent val="0"/>
          <c:showBubbleSize val="0"/>
        </c:dLbls>
        <c:axId val="305780992"/>
        <c:axId val="305783168"/>
      </c:scatterChart>
      <c:valAx>
        <c:axId val="305780992"/>
        <c:scaling>
          <c:orientation val="minMax"/>
          <c:max val="2.0000000000000004E-2"/>
          <c:min val="0"/>
        </c:scaling>
        <c:delete val="0"/>
        <c:axPos val="b"/>
        <c:majorGridlines/>
        <c:title>
          <c:tx>
            <c:rich>
              <a:bodyPr/>
              <a:lstStyle/>
              <a:p>
                <a:pPr>
                  <a:defRPr/>
                </a:pPr>
                <a:r>
                  <a:rPr lang="en-US">
                    <a:latin typeface="Symbol" pitchFamily="18" charset="2"/>
                  </a:rPr>
                  <a:t>m</a:t>
                </a:r>
                <a:r>
                  <a:rPr lang="en-US" baseline="-25000"/>
                  <a:t>s</a:t>
                </a:r>
                <a:r>
                  <a:rPr lang="en-US"/>
                  <a:t> (m/s)</a:t>
                </a:r>
              </a:p>
            </c:rich>
          </c:tx>
          <c:overlay val="0"/>
        </c:title>
        <c:numFmt formatCode="0.000" sourceLinked="1"/>
        <c:majorTickMark val="none"/>
        <c:minorTickMark val="none"/>
        <c:tickLblPos val="nextTo"/>
        <c:crossAx val="305783168"/>
        <c:crosses val="autoZero"/>
        <c:crossBetween val="midCat"/>
        <c:majorUnit val="2.0000000000000005E-3"/>
      </c:valAx>
      <c:valAx>
        <c:axId val="305783168"/>
        <c:scaling>
          <c:orientation val="minMax"/>
          <c:max val="900"/>
        </c:scaling>
        <c:delete val="0"/>
        <c:axPos val="l"/>
        <c:majorGridlines/>
        <c:title>
          <c:tx>
            <c:rich>
              <a:bodyPr rot="0" vert="horz"/>
              <a:lstStyle/>
              <a:p>
                <a:pPr>
                  <a:defRPr/>
                </a:pPr>
                <a:r>
                  <a:rPr lang="en-US">
                    <a:latin typeface="Symbol" pitchFamily="18" charset="2"/>
                  </a:rPr>
                  <a:t>D</a:t>
                </a:r>
                <a:r>
                  <a:rPr lang="en-US"/>
                  <a:t>P</a:t>
                </a:r>
              </a:p>
              <a:p>
                <a:pPr>
                  <a:defRPr/>
                </a:pPr>
                <a:r>
                  <a:rPr lang="en-US"/>
                  <a:t>(Pa)</a:t>
                </a:r>
              </a:p>
            </c:rich>
          </c:tx>
          <c:overlay val="0"/>
        </c:title>
        <c:numFmt formatCode="General" sourceLinked="1"/>
        <c:majorTickMark val="none"/>
        <c:minorTickMark val="none"/>
        <c:tickLblPos val="nextTo"/>
        <c:crossAx val="305780992"/>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3</a:t>
            </a:r>
          </a:p>
        </c:rich>
      </c:tx>
      <c:overlay val="0"/>
    </c:title>
    <c:autoTitleDeleted val="0"/>
    <c:plotArea>
      <c:layout/>
      <c:scatterChart>
        <c:scatterStyle val="lineMarker"/>
        <c:varyColors val="0"/>
        <c:ser>
          <c:idx val="1"/>
          <c:order val="1"/>
          <c:tx>
            <c:v>Measured</c:v>
          </c:tx>
          <c:spPr>
            <a:ln w="28575">
              <a:noFill/>
            </a:ln>
          </c:spPr>
          <c:xVal>
            <c:numRef>
              <c:f>Kareem!$DK$30:$DK$40</c:f>
              <c:numCache>
                <c:formatCode>0.000</c:formatCode>
                <c:ptCount val="11"/>
                <c:pt idx="0">
                  <c:v>5.4798089394158587E-10</c:v>
                </c:pt>
                <c:pt idx="1">
                  <c:v>4.9318280454742729E-3</c:v>
                </c:pt>
                <c:pt idx="2">
                  <c:v>6.5757707272990308E-3</c:v>
                </c:pt>
                <c:pt idx="3">
                  <c:v>8.219713409123787E-3</c:v>
                </c:pt>
                <c:pt idx="4">
                  <c:v>9.8636560909485457E-3</c:v>
                </c:pt>
                <c:pt idx="5">
                  <c:v>1.1507598772773303E-2</c:v>
                </c:pt>
                <c:pt idx="6">
                  <c:v>1.3151541454598062E-2</c:v>
                </c:pt>
                <c:pt idx="7">
                  <c:v>1.4795484136422819E-2</c:v>
                </c:pt>
                <c:pt idx="8">
                  <c:v>1.6439426818247574E-2</c:v>
                </c:pt>
                <c:pt idx="9">
                  <c:v>1.8083369500072333E-2</c:v>
                </c:pt>
                <c:pt idx="10">
                  <c:v>1.9999999999999997E-2</c:v>
                </c:pt>
              </c:numCache>
            </c:numRef>
          </c:xVal>
          <c:yVal>
            <c:numRef>
              <c:f>Kareem!$DR$30:$DR$40</c:f>
              <c:numCache>
                <c:formatCode>#,##0</c:formatCode>
                <c:ptCount val="11"/>
                <c:pt idx="1">
                  <c:v>150</c:v>
                </c:pt>
                <c:pt idx="2">
                  <c:v>190</c:v>
                </c:pt>
                <c:pt idx="3">
                  <c:v>230</c:v>
                </c:pt>
                <c:pt idx="4">
                  <c:v>260</c:v>
                </c:pt>
                <c:pt idx="5">
                  <c:v>310</c:v>
                </c:pt>
                <c:pt idx="6">
                  <c:v>350</c:v>
                </c:pt>
                <c:pt idx="7">
                  <c:v>410</c:v>
                </c:pt>
              </c:numCache>
            </c:numRef>
          </c:yVal>
          <c:smooth val="0"/>
        </c:ser>
        <c:dLbls>
          <c:showLegendKey val="0"/>
          <c:showVal val="0"/>
          <c:showCatName val="0"/>
          <c:showSerName val="0"/>
          <c:showPercent val="0"/>
          <c:showBubbleSize val="0"/>
        </c:dLbls>
        <c:axId val="308615040"/>
        <c:axId val="308617216"/>
      </c:scatterChart>
      <c:scatterChart>
        <c:scatterStyle val="smoothMarker"/>
        <c:varyColors val="0"/>
        <c:ser>
          <c:idx val="0"/>
          <c:order val="0"/>
          <c:tx>
            <c:v>QFFM corrected</c:v>
          </c:tx>
          <c:marker>
            <c:symbol val="none"/>
          </c:marker>
          <c:xVal>
            <c:numRef>
              <c:f>Kareem!$DK$30:$DK$40</c:f>
              <c:numCache>
                <c:formatCode>0.000</c:formatCode>
                <c:ptCount val="11"/>
                <c:pt idx="0">
                  <c:v>5.4798089394158587E-10</c:v>
                </c:pt>
                <c:pt idx="1">
                  <c:v>4.9318280454742729E-3</c:v>
                </c:pt>
                <c:pt idx="2">
                  <c:v>6.5757707272990308E-3</c:v>
                </c:pt>
                <c:pt idx="3">
                  <c:v>8.219713409123787E-3</c:v>
                </c:pt>
                <c:pt idx="4">
                  <c:v>9.8636560909485457E-3</c:v>
                </c:pt>
                <c:pt idx="5">
                  <c:v>1.1507598772773303E-2</c:v>
                </c:pt>
                <c:pt idx="6">
                  <c:v>1.3151541454598062E-2</c:v>
                </c:pt>
                <c:pt idx="7">
                  <c:v>1.4795484136422819E-2</c:v>
                </c:pt>
                <c:pt idx="8">
                  <c:v>1.6439426818247574E-2</c:v>
                </c:pt>
                <c:pt idx="9">
                  <c:v>1.8083369500072333E-2</c:v>
                </c:pt>
                <c:pt idx="10">
                  <c:v>1.9999999999999997E-2</c:v>
                </c:pt>
              </c:numCache>
            </c:numRef>
          </c:xVal>
          <c:yVal>
            <c:numRef>
              <c:f>Kareem!$DQ$30:$DQ$40</c:f>
              <c:numCache>
                <c:formatCode>#,##0</c:formatCode>
                <c:ptCount val="11"/>
                <c:pt idx="0">
                  <c:v>2.8522330198309834E-6</c:v>
                </c:pt>
                <c:pt idx="1">
                  <c:v>52.265001901107013</c:v>
                </c:pt>
                <c:pt idx="2">
                  <c:v>81.506583551969769</c:v>
                </c:pt>
                <c:pt idx="3">
                  <c:v>116.65810681452038</c:v>
                </c:pt>
                <c:pt idx="4">
                  <c:v>157.71956637286905</c:v>
                </c:pt>
                <c:pt idx="5">
                  <c:v>204.69095812913511</c:v>
                </c:pt>
                <c:pt idx="6">
                  <c:v>257.5722788013353</c:v>
                </c:pt>
                <c:pt idx="7">
                  <c:v>316.36352568358416</c:v>
                </c:pt>
                <c:pt idx="8">
                  <c:v>381.06469649383018</c:v>
                </c:pt>
                <c:pt idx="9">
                  <c:v>451.67578927224679</c:v>
                </c:pt>
                <c:pt idx="10">
                  <c:v>541.46112608006615</c:v>
                </c:pt>
              </c:numCache>
            </c:numRef>
          </c:yVal>
          <c:smooth val="1"/>
        </c:ser>
        <c:dLbls>
          <c:showLegendKey val="0"/>
          <c:showVal val="0"/>
          <c:showCatName val="0"/>
          <c:showSerName val="0"/>
          <c:showPercent val="0"/>
          <c:showBubbleSize val="0"/>
        </c:dLbls>
        <c:axId val="308615040"/>
        <c:axId val="308617216"/>
      </c:scatterChart>
      <c:valAx>
        <c:axId val="308615040"/>
        <c:scaling>
          <c:orientation val="minMax"/>
          <c:max val="2.0000000000000004E-2"/>
          <c:min val="0"/>
        </c:scaling>
        <c:delete val="0"/>
        <c:axPos val="b"/>
        <c:majorGridlines/>
        <c:title>
          <c:tx>
            <c:rich>
              <a:bodyPr/>
              <a:lstStyle/>
              <a:p>
                <a:pPr>
                  <a:defRPr/>
                </a:pPr>
                <a:r>
                  <a:rPr lang="en-US">
                    <a:latin typeface="Symbol" pitchFamily="18" charset="2"/>
                  </a:rPr>
                  <a:t>m</a:t>
                </a:r>
                <a:r>
                  <a:rPr lang="en-US" baseline="-25000"/>
                  <a:t>s</a:t>
                </a:r>
                <a:r>
                  <a:rPr lang="en-US"/>
                  <a:t> (m/s)</a:t>
                </a:r>
              </a:p>
            </c:rich>
          </c:tx>
          <c:overlay val="0"/>
        </c:title>
        <c:numFmt formatCode="0.000" sourceLinked="1"/>
        <c:majorTickMark val="none"/>
        <c:minorTickMark val="none"/>
        <c:tickLblPos val="nextTo"/>
        <c:crossAx val="308617216"/>
        <c:crosses val="autoZero"/>
        <c:crossBetween val="midCat"/>
        <c:majorUnit val="2.0000000000000005E-3"/>
      </c:valAx>
      <c:valAx>
        <c:axId val="308617216"/>
        <c:scaling>
          <c:orientation val="minMax"/>
          <c:max val="900"/>
        </c:scaling>
        <c:delete val="0"/>
        <c:axPos val="l"/>
        <c:majorGridlines/>
        <c:title>
          <c:tx>
            <c:rich>
              <a:bodyPr rot="0" vert="horz"/>
              <a:lstStyle/>
              <a:p>
                <a:pPr>
                  <a:defRPr/>
                </a:pPr>
                <a:r>
                  <a:rPr lang="en-US">
                    <a:latin typeface="Symbol" pitchFamily="18" charset="2"/>
                  </a:rPr>
                  <a:t>D</a:t>
                </a:r>
                <a:r>
                  <a:rPr lang="en-US"/>
                  <a:t>P</a:t>
                </a:r>
              </a:p>
              <a:p>
                <a:pPr>
                  <a:defRPr/>
                </a:pPr>
                <a:r>
                  <a:rPr lang="en-US"/>
                  <a:t>(Pa)</a:t>
                </a:r>
              </a:p>
            </c:rich>
          </c:tx>
          <c:overlay val="0"/>
        </c:title>
        <c:numFmt formatCode="#,##0" sourceLinked="1"/>
        <c:majorTickMark val="none"/>
        <c:minorTickMark val="none"/>
        <c:tickLblPos val="nextTo"/>
        <c:crossAx val="308615040"/>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86DB4-BB73-4666-B055-661CCFD9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6</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2017-05-26T18:04:00Z</dcterms:created>
  <dcterms:modified xsi:type="dcterms:W3CDTF">2017-05-26T18:04:00Z</dcterms:modified>
</cp:coreProperties>
</file>