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bookmarkStart w:id="0" w:name="_GoBack"/>
      <w:bookmarkEnd w:id="0"/>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68FA384F" w:rsidR="00D437BD" w:rsidRPr="00DE1D77" w:rsidRDefault="00966624" w:rsidP="00DE1D77">
      <w:pPr>
        <w:autoSpaceDE w:val="0"/>
        <w:autoSpaceDN w:val="0"/>
        <w:adjustRightInd w:val="0"/>
        <w:ind w:firstLine="0"/>
        <w:rPr>
          <w:rFonts w:ascii="Optima-Bold" w:hAnsi="Optima-Bold" w:cs="Optima-Bold"/>
          <w:b/>
          <w:bCs/>
          <w:sz w:val="22"/>
        </w:rPr>
      </w:pPr>
      <w:r w:rsidRPr="00DE1D77">
        <w:rPr>
          <w:sz w:val="22"/>
        </w:rPr>
        <w:t xml:space="preserve">We review here </w:t>
      </w:r>
      <w:r w:rsidR="003E4587" w:rsidRPr="00DE1D77">
        <w:rPr>
          <w:sz w:val="22"/>
        </w:rPr>
        <w:t xml:space="preserve">a published article in </w:t>
      </w:r>
      <w:r w:rsidR="00DE1D77" w:rsidRPr="00DE1D77">
        <w:rPr>
          <w:rFonts w:ascii="Optima" w:hAnsi="Optima" w:cs="Optima"/>
          <w:b/>
          <w:sz w:val="22"/>
        </w:rPr>
        <w:t>Journal of Chromatographic Science, Vol. 46, March 2008</w:t>
      </w:r>
      <w:r w:rsidR="00DE1D77" w:rsidRPr="00DE1D77">
        <w:rPr>
          <w:b/>
          <w:i/>
          <w:sz w:val="22"/>
        </w:rPr>
        <w:t xml:space="preserve">, </w:t>
      </w:r>
      <w:r w:rsidR="003E4587" w:rsidRPr="00DE1D77">
        <w:rPr>
          <w:sz w:val="22"/>
        </w:rPr>
        <w:t xml:space="preserve">entitled </w:t>
      </w:r>
      <w:r w:rsidR="00DE1D77" w:rsidRPr="00DE1D77">
        <w:rPr>
          <w:rFonts w:ascii="Optima-Bold" w:hAnsi="Optima-Bold" w:cs="Optima-Bold"/>
          <w:b/>
          <w:bCs/>
          <w:sz w:val="22"/>
        </w:rPr>
        <w:t>Characteristics of Superficia</w:t>
      </w:r>
      <w:r w:rsidR="00DE1D77">
        <w:rPr>
          <w:rFonts w:ascii="Optima-Bold" w:hAnsi="Optima-Bold" w:cs="Optima-Bold"/>
          <w:b/>
          <w:bCs/>
          <w:sz w:val="22"/>
        </w:rPr>
        <w:t xml:space="preserve">lly-Porous Silica Particles for </w:t>
      </w:r>
      <w:r w:rsidR="00DE1D77" w:rsidRPr="00DE1D77">
        <w:rPr>
          <w:rFonts w:ascii="Optima-Bold" w:hAnsi="Optima-Bold" w:cs="Optima-Bold"/>
          <w:b/>
          <w:bCs/>
          <w:sz w:val="22"/>
        </w:rPr>
        <w:t>Fast HPLC: So</w:t>
      </w:r>
      <w:r w:rsidR="00DE1D77">
        <w:rPr>
          <w:rFonts w:ascii="Optima-Bold" w:hAnsi="Optima-Bold" w:cs="Optima-Bold"/>
          <w:b/>
          <w:bCs/>
          <w:sz w:val="22"/>
        </w:rPr>
        <w:t xml:space="preserve">me Performance Comparisons with </w:t>
      </w:r>
      <w:r w:rsidR="00DE1D77" w:rsidRPr="00DE1D77">
        <w:rPr>
          <w:rFonts w:ascii="Optima-Bold" w:hAnsi="Optima-Bold" w:cs="Optima-Bold"/>
          <w:b/>
          <w:bCs/>
          <w:sz w:val="22"/>
        </w:rPr>
        <w:t xml:space="preserve">Sub-2-μm </w:t>
      </w:r>
      <w:r w:rsidR="003B7F13" w:rsidRPr="00DE1D77">
        <w:rPr>
          <w:rFonts w:ascii="Optima-Bold" w:hAnsi="Optima-Bold" w:cs="Optima-Bold"/>
          <w:b/>
          <w:bCs/>
          <w:sz w:val="22"/>
        </w:rPr>
        <w:t>Particles</w:t>
      </w:r>
      <w:r w:rsidR="003B7F13" w:rsidRPr="00DE1D77">
        <w:rPr>
          <w:sz w:val="22"/>
        </w:rPr>
        <w:t xml:space="preserve">, </w:t>
      </w:r>
      <w:r w:rsidR="003B7F13" w:rsidRPr="001D0B5F">
        <w:rPr>
          <w:i/>
          <w:sz w:val="22"/>
        </w:rPr>
        <w:t>by</w:t>
      </w:r>
      <w:r w:rsidR="00DE1D77" w:rsidRPr="00DE1D77">
        <w:rPr>
          <w:b/>
          <w:sz w:val="22"/>
        </w:rPr>
        <w:t xml:space="preserve"> </w:t>
      </w:r>
      <w:r w:rsidR="003B7F13" w:rsidRPr="00DE1D77">
        <w:rPr>
          <w:b/>
          <w:sz w:val="22"/>
        </w:rPr>
        <w:t>DE Stefano</w:t>
      </w:r>
      <w:r w:rsidR="003E4587" w:rsidRPr="00DE1D77">
        <w:rPr>
          <w:b/>
          <w:sz w:val="22"/>
        </w:rPr>
        <w:t xml:space="preserve">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3FCB997A" w14:textId="77777777" w:rsidR="003044B6" w:rsidRDefault="003044B6" w:rsidP="00D437BD">
      <w:pPr>
        <w:ind w:firstLine="0"/>
        <w:rPr>
          <w:sz w:val="20"/>
          <w:szCs w:val="20"/>
        </w:rPr>
      </w:pPr>
    </w:p>
    <w:p w14:paraId="4DDA7D7F" w14:textId="4166F557" w:rsidR="00F536B3" w:rsidRPr="003368A3" w:rsidRDefault="003368A3" w:rsidP="003368A3">
      <w:pPr>
        <w:autoSpaceDE w:val="0"/>
        <w:autoSpaceDN w:val="0"/>
        <w:adjustRightInd w:val="0"/>
        <w:ind w:firstLine="0"/>
        <w:rPr>
          <w:rFonts w:ascii="Optima-Bold" w:hAnsi="Optima-Bold" w:cs="Optima-Bold"/>
          <w:bCs/>
          <w:sz w:val="22"/>
        </w:rPr>
      </w:pPr>
      <w:r w:rsidRPr="003368A3">
        <w:rPr>
          <w:rFonts w:ascii="Optima-Bold" w:hAnsi="Optima-Bold" w:cs="Optima-Bold"/>
          <w:bCs/>
          <w:sz w:val="22"/>
        </w:rPr>
        <w:t>Columns of 2.7-μm fused-core (superficially porous) Type B silica particles allow very fast separations of small molecules at pressures available in most high-performance liquid chromatography instruments. These highly-purified particles with 1.7-μm solid silica cores and 0.5-μm-thick shells of 9 nm pores exhibit efficiencies that rival those of totally porous sub-2-μm particles but at one-half to one-third of the column back pressure. This presentation describes other operating features of fused-core particle columns, including sample loading characteristics and packed bed stability. The superior mass transfer (kinetic) properties of the fused-core particles result in much-improved separation efficiency at higher mobile phase velocities, especially for &gt; 600 molecular weight solutes.</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0BBBE718" w14:textId="25EF62A1" w:rsidR="00AB6EF7" w:rsidRPr="001E14D2" w:rsidRDefault="00AB6EF7" w:rsidP="001E14D2">
      <w:pPr>
        <w:ind w:firstLine="0"/>
        <w:rPr>
          <w:sz w:val="22"/>
        </w:rPr>
      </w:pPr>
      <w:r w:rsidRPr="001E14D2">
        <w:rPr>
          <w:sz w:val="22"/>
        </w:rPr>
        <w:t xml:space="preserve">In our Fig. </w:t>
      </w:r>
      <w:r w:rsidR="00966624" w:rsidRPr="001E14D2">
        <w:rPr>
          <w:sz w:val="22"/>
        </w:rPr>
        <w:t>A</w:t>
      </w:r>
      <w:r w:rsidRPr="001E14D2">
        <w:rPr>
          <w:sz w:val="22"/>
        </w:rPr>
        <w:t xml:space="preserve"> herein, </w:t>
      </w:r>
      <w:r w:rsidR="001E14D2">
        <w:rPr>
          <w:sz w:val="22"/>
        </w:rPr>
        <w:t>we show an elaboration of Fig. 6 and Fig. 7</w:t>
      </w:r>
      <w:r w:rsidRPr="001E14D2">
        <w:rPr>
          <w:sz w:val="22"/>
        </w:rPr>
        <w:t xml:space="preserve"> in the paper for the experimental data reported </w:t>
      </w:r>
      <w:r w:rsidR="001E14D2">
        <w:rPr>
          <w:sz w:val="22"/>
        </w:rPr>
        <w:t xml:space="preserve">for the four columns under study. As can be seen in the plot, we have captured the reported data correctly for </w:t>
      </w:r>
      <w:r w:rsidR="001E14D2" w:rsidRPr="005A7655">
        <w:rPr>
          <w:sz w:val="22"/>
          <w:u w:val="single"/>
        </w:rPr>
        <w:t>measured pressure drop</w:t>
      </w:r>
      <w:r w:rsidR="001E14D2">
        <w:rPr>
          <w:sz w:val="22"/>
        </w:rPr>
        <w:t xml:space="preserve">, </w:t>
      </w:r>
      <w:r w:rsidR="001E14D2" w:rsidRPr="005A7655">
        <w:rPr>
          <w:sz w:val="22"/>
          <w:u w:val="single"/>
        </w:rPr>
        <w:t>flow rate</w:t>
      </w:r>
      <w:r w:rsidR="001E14D2">
        <w:rPr>
          <w:sz w:val="22"/>
        </w:rPr>
        <w:t xml:space="preserve"> and </w:t>
      </w:r>
      <w:r w:rsidR="001E14D2" w:rsidRPr="005A7655">
        <w:rPr>
          <w:sz w:val="22"/>
          <w:u w:val="single"/>
        </w:rPr>
        <w:t>mobile phase velocity</w:t>
      </w:r>
      <w:r w:rsidR="001E14D2">
        <w:rPr>
          <w:sz w:val="22"/>
        </w:rPr>
        <w:t xml:space="preserve">. Note again that the authors chose to report the </w:t>
      </w:r>
      <w:r w:rsidR="001E14D2" w:rsidRPr="005A7655">
        <w:rPr>
          <w:sz w:val="22"/>
          <w:u w:val="single"/>
        </w:rPr>
        <w:t>mobile phase velocity</w:t>
      </w:r>
      <w:r w:rsidR="001E14D2">
        <w:rPr>
          <w:sz w:val="22"/>
        </w:rPr>
        <w:t xml:space="preserve"> rather than the </w:t>
      </w:r>
      <w:r w:rsidR="001E14D2" w:rsidRPr="005A7655">
        <w:rPr>
          <w:sz w:val="22"/>
          <w:u w:val="single"/>
        </w:rPr>
        <w:t>superficial velocity</w:t>
      </w:r>
      <w:r w:rsidR="001E14D2">
        <w:rPr>
          <w:sz w:val="22"/>
        </w:rPr>
        <w:t xml:space="preserve">. This is very typical for chromatographic authors since their measurements yield values for </w:t>
      </w:r>
      <w:r w:rsidR="001E14D2" w:rsidRPr="001E14D2">
        <w:rPr>
          <w:sz w:val="22"/>
          <w:u w:val="single"/>
        </w:rPr>
        <w:t xml:space="preserve">total </w:t>
      </w:r>
      <w:r w:rsidR="001E14D2">
        <w:rPr>
          <w:sz w:val="22"/>
        </w:rPr>
        <w:t xml:space="preserve">column porosity rather than </w:t>
      </w:r>
      <w:r w:rsidR="001E14D2" w:rsidRPr="001E14D2">
        <w:rPr>
          <w:sz w:val="22"/>
          <w:u w:val="single"/>
        </w:rPr>
        <w:t>external</w:t>
      </w:r>
      <w:r w:rsidR="001E14D2">
        <w:rPr>
          <w:sz w:val="22"/>
        </w:rPr>
        <w:t xml:space="preserve"> column porosity. The QFFM has the built in ability to correct for the </w:t>
      </w:r>
      <w:r w:rsidR="001E14D2" w:rsidRPr="005A7655">
        <w:rPr>
          <w:sz w:val="22"/>
          <w:u w:val="single"/>
        </w:rPr>
        <w:t>internal pore volume of porous particles</w:t>
      </w:r>
      <w:r w:rsidR="001E14D2">
        <w:rPr>
          <w:sz w:val="22"/>
        </w:rPr>
        <w:t xml:space="preserve"> when calculating the column permeability characteristics from measurements of </w:t>
      </w:r>
      <w:r w:rsidR="001E14D2" w:rsidRPr="005A7655">
        <w:rPr>
          <w:sz w:val="22"/>
          <w:u w:val="single"/>
        </w:rPr>
        <w:t>total</w:t>
      </w:r>
      <w:r w:rsidR="001E14D2">
        <w:rPr>
          <w:sz w:val="22"/>
        </w:rPr>
        <w:t xml:space="preserve"> column porosity.</w:t>
      </w:r>
    </w:p>
    <w:p w14:paraId="429D3AF1" w14:textId="77777777" w:rsidR="00B40C70" w:rsidRPr="001E14D2" w:rsidRDefault="00B40C70" w:rsidP="00B40C70">
      <w:pPr>
        <w:ind w:firstLine="0"/>
        <w:rPr>
          <w:sz w:val="22"/>
        </w:rPr>
      </w:pPr>
    </w:p>
    <w:p w14:paraId="791073B8" w14:textId="77777777" w:rsidR="00AB6EF7" w:rsidRPr="001E14D2" w:rsidRDefault="00AB6EF7" w:rsidP="00E42D64">
      <w:pPr>
        <w:ind w:firstLine="0"/>
        <w:rPr>
          <w:sz w:val="22"/>
        </w:rPr>
      </w:pPr>
    </w:p>
    <w:p w14:paraId="0734528F" w14:textId="77777777" w:rsidR="00966624" w:rsidRPr="001E14D2" w:rsidRDefault="00966624">
      <w:pPr>
        <w:rPr>
          <w:sz w:val="22"/>
        </w:rPr>
      </w:pPr>
    </w:p>
    <w:p w14:paraId="7D4FDD09" w14:textId="77777777" w:rsidR="00966624" w:rsidRPr="001E14D2" w:rsidRDefault="00966624">
      <w:pPr>
        <w:rPr>
          <w:sz w:val="22"/>
        </w:rPr>
      </w:pPr>
    </w:p>
    <w:p w14:paraId="7BDF9F19" w14:textId="77777777" w:rsidR="0001294D" w:rsidRPr="001E14D2" w:rsidRDefault="0001294D">
      <w:pPr>
        <w:rPr>
          <w:sz w:val="22"/>
        </w:rPr>
      </w:pPr>
    </w:p>
    <w:p w14:paraId="4CE77399" w14:textId="77777777" w:rsidR="0001294D" w:rsidRPr="001E14D2" w:rsidRDefault="0001294D">
      <w:pPr>
        <w:rPr>
          <w:sz w:val="22"/>
        </w:rPr>
      </w:pPr>
    </w:p>
    <w:p w14:paraId="47DD695C" w14:textId="77777777" w:rsidR="003368A3" w:rsidRDefault="003368A3" w:rsidP="004F5BF8">
      <w:pPr>
        <w:ind w:firstLine="0"/>
        <w:rPr>
          <w:sz w:val="20"/>
          <w:szCs w:val="20"/>
        </w:rPr>
      </w:pPr>
    </w:p>
    <w:p w14:paraId="141FD60D" w14:textId="77777777" w:rsidR="003368A3" w:rsidRDefault="003368A3" w:rsidP="004F5BF8">
      <w:pPr>
        <w:ind w:firstLine="0"/>
        <w:rPr>
          <w:sz w:val="20"/>
          <w:szCs w:val="20"/>
        </w:rPr>
      </w:pPr>
    </w:p>
    <w:p w14:paraId="24636C38" w14:textId="77777777" w:rsidR="003368A3" w:rsidRDefault="003368A3" w:rsidP="004F5BF8">
      <w:pPr>
        <w:ind w:firstLine="0"/>
        <w:rPr>
          <w:sz w:val="20"/>
          <w:szCs w:val="20"/>
        </w:rPr>
      </w:pPr>
    </w:p>
    <w:p w14:paraId="153B5C5D" w14:textId="77777777" w:rsidR="003368A3" w:rsidRDefault="003368A3" w:rsidP="004F5BF8">
      <w:pPr>
        <w:ind w:firstLine="0"/>
        <w:rPr>
          <w:sz w:val="20"/>
          <w:szCs w:val="20"/>
        </w:rPr>
      </w:pPr>
    </w:p>
    <w:p w14:paraId="21532238" w14:textId="77777777" w:rsidR="003368A3" w:rsidRDefault="003368A3" w:rsidP="004F5BF8">
      <w:pPr>
        <w:ind w:firstLine="0"/>
        <w:rPr>
          <w:sz w:val="20"/>
          <w:szCs w:val="20"/>
        </w:rPr>
      </w:pPr>
    </w:p>
    <w:p w14:paraId="0D548E4C" w14:textId="77777777" w:rsidR="003368A3" w:rsidRDefault="003368A3" w:rsidP="004F5BF8">
      <w:pPr>
        <w:ind w:firstLine="0"/>
        <w:rPr>
          <w:sz w:val="20"/>
          <w:szCs w:val="20"/>
        </w:rPr>
      </w:pPr>
    </w:p>
    <w:p w14:paraId="7FE3A5D0" w14:textId="77777777" w:rsidR="003368A3" w:rsidRDefault="003368A3" w:rsidP="004F5BF8">
      <w:pPr>
        <w:ind w:firstLine="0"/>
        <w:rPr>
          <w:sz w:val="20"/>
          <w:szCs w:val="20"/>
        </w:rPr>
      </w:pPr>
    </w:p>
    <w:p w14:paraId="5B5D2335" w14:textId="77777777" w:rsidR="003368A3" w:rsidRDefault="003368A3" w:rsidP="004F5BF8">
      <w:pPr>
        <w:ind w:firstLine="0"/>
        <w:rPr>
          <w:sz w:val="20"/>
          <w:szCs w:val="20"/>
        </w:rPr>
      </w:pPr>
    </w:p>
    <w:p w14:paraId="1F1C91D5" w14:textId="77777777" w:rsidR="003368A3" w:rsidRDefault="003368A3" w:rsidP="004F5BF8">
      <w:pPr>
        <w:ind w:firstLine="0"/>
        <w:rPr>
          <w:sz w:val="20"/>
          <w:szCs w:val="20"/>
        </w:rPr>
      </w:pPr>
    </w:p>
    <w:p w14:paraId="2613493C" w14:textId="77777777" w:rsidR="003368A3" w:rsidRDefault="003368A3" w:rsidP="004F5BF8">
      <w:pPr>
        <w:ind w:firstLine="0"/>
        <w:rPr>
          <w:sz w:val="20"/>
          <w:szCs w:val="20"/>
        </w:rPr>
      </w:pPr>
    </w:p>
    <w:p w14:paraId="4CED46C2" w14:textId="77777777" w:rsidR="003368A3" w:rsidRDefault="003368A3" w:rsidP="004F5BF8">
      <w:pPr>
        <w:ind w:firstLine="0"/>
        <w:rPr>
          <w:sz w:val="20"/>
          <w:szCs w:val="20"/>
        </w:rPr>
      </w:pPr>
    </w:p>
    <w:p w14:paraId="454BE04C" w14:textId="77777777" w:rsidR="008E5AB7" w:rsidRDefault="008E5AB7" w:rsidP="004F5BF8">
      <w:pPr>
        <w:ind w:firstLine="0"/>
        <w:rPr>
          <w:sz w:val="20"/>
          <w:szCs w:val="20"/>
        </w:rPr>
      </w:pPr>
    </w:p>
    <w:p w14:paraId="54579F96" w14:textId="77777777" w:rsidR="00584D65" w:rsidRDefault="00584D65" w:rsidP="004F5BF8">
      <w:pPr>
        <w:ind w:firstLine="0"/>
        <w:rPr>
          <w:sz w:val="20"/>
          <w:szCs w:val="20"/>
        </w:rPr>
      </w:pPr>
    </w:p>
    <w:p w14:paraId="0CCCDD07" w14:textId="77777777" w:rsidR="003368A3" w:rsidRDefault="003368A3" w:rsidP="004F5BF8">
      <w:pPr>
        <w:ind w:firstLine="0"/>
        <w:rPr>
          <w:sz w:val="20"/>
          <w:szCs w:val="20"/>
        </w:rPr>
      </w:pPr>
    </w:p>
    <w:p w14:paraId="6A7FD12C" w14:textId="77777777" w:rsidR="00B308B8" w:rsidRPr="003368A3" w:rsidRDefault="00B308B8" w:rsidP="00B308B8">
      <w:pPr>
        <w:rPr>
          <w:b/>
          <w:szCs w:val="24"/>
        </w:rPr>
      </w:pPr>
      <w:r w:rsidRPr="003368A3">
        <w:rPr>
          <w:b/>
          <w:szCs w:val="24"/>
        </w:rPr>
        <w:lastRenderedPageBreak/>
        <w:t xml:space="preserve">Fig. A-1 </w:t>
      </w:r>
    </w:p>
    <w:p w14:paraId="4488772D" w14:textId="77777777" w:rsidR="001B7DE8" w:rsidRPr="00933A92" w:rsidRDefault="001B7DE8" w:rsidP="00B308B8">
      <w:pPr>
        <w:rPr>
          <w:sz w:val="20"/>
          <w:szCs w:val="20"/>
        </w:rPr>
      </w:pPr>
    </w:p>
    <w:p w14:paraId="4250CC4B" w14:textId="694F977C" w:rsidR="00B308B8" w:rsidRDefault="003368A3">
      <w:pPr>
        <w:rPr>
          <w:noProof/>
        </w:rPr>
      </w:pPr>
      <w:r>
        <w:rPr>
          <w:noProof/>
        </w:rPr>
        <w:drawing>
          <wp:inline distT="0" distB="0" distL="0" distR="0" wp14:anchorId="2D735700" wp14:editId="1CEDC6BD">
            <wp:extent cx="5886450" cy="34385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D7F68E" w14:textId="77777777" w:rsidR="008E5AB7" w:rsidRDefault="008E5AB7">
      <w:pPr>
        <w:rPr>
          <w:noProof/>
        </w:rPr>
      </w:pPr>
    </w:p>
    <w:p w14:paraId="483EEF8C" w14:textId="47ECDAF6" w:rsidR="008E5AB7" w:rsidRPr="008E5AB7" w:rsidRDefault="008E5AB7" w:rsidP="008E5AB7">
      <w:pPr>
        <w:rPr>
          <w:b/>
          <w:szCs w:val="24"/>
        </w:rPr>
      </w:pPr>
      <w:r w:rsidRPr="008E5AB7">
        <w:rPr>
          <w:b/>
          <w:szCs w:val="24"/>
        </w:rPr>
        <w:t>Fig. A-2</w:t>
      </w:r>
    </w:p>
    <w:p w14:paraId="5CD819D6" w14:textId="77777777" w:rsidR="00F536B3" w:rsidRDefault="00F536B3">
      <w:pPr>
        <w:rPr>
          <w:noProof/>
        </w:rPr>
      </w:pPr>
    </w:p>
    <w:p w14:paraId="66214AA8" w14:textId="1689FF2E" w:rsidR="00F536B3" w:rsidRDefault="003368A3" w:rsidP="008E5AB7">
      <w:pPr>
        <w:rPr>
          <w:noProof/>
        </w:rPr>
      </w:pPr>
      <w:r>
        <w:rPr>
          <w:noProof/>
        </w:rPr>
        <w:drawing>
          <wp:inline distT="0" distB="0" distL="0" distR="0" wp14:anchorId="0D44F8A3" wp14:editId="605E23A3">
            <wp:extent cx="5886450" cy="37242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39FCCE" w14:textId="77777777" w:rsidR="00F536B3" w:rsidRDefault="00F536B3">
      <w:pPr>
        <w:rPr>
          <w:noProof/>
        </w:rPr>
      </w:pPr>
    </w:p>
    <w:p w14:paraId="0AE88BEB" w14:textId="77777777" w:rsidR="008E5AB7" w:rsidRPr="008E5AB7" w:rsidRDefault="008E5AB7" w:rsidP="008E5AB7">
      <w:pPr>
        <w:rPr>
          <w:b/>
          <w:szCs w:val="24"/>
        </w:rPr>
      </w:pPr>
      <w:r w:rsidRPr="008E5AB7">
        <w:rPr>
          <w:b/>
          <w:szCs w:val="24"/>
        </w:rPr>
        <w:lastRenderedPageBreak/>
        <w:t>Fig. B</w:t>
      </w:r>
    </w:p>
    <w:p w14:paraId="19A42249" w14:textId="77777777" w:rsidR="00F536B3" w:rsidRDefault="00F536B3">
      <w:pPr>
        <w:rPr>
          <w:noProof/>
        </w:rPr>
      </w:pPr>
    </w:p>
    <w:p w14:paraId="48C40DE1" w14:textId="5DA2D266" w:rsidR="00F536B3" w:rsidRDefault="008E5AB7">
      <w:pPr>
        <w:rPr>
          <w:noProof/>
        </w:rPr>
      </w:pPr>
      <w:r>
        <w:rPr>
          <w:noProof/>
        </w:rPr>
        <w:drawing>
          <wp:inline distT="0" distB="0" distL="0" distR="0" wp14:anchorId="4A6E7476" wp14:editId="76E050EC">
            <wp:extent cx="5943600" cy="4706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06620"/>
                    </a:xfrm>
                    <a:prstGeom prst="rect">
                      <a:avLst/>
                    </a:prstGeom>
                  </pic:spPr>
                </pic:pic>
              </a:graphicData>
            </a:graphic>
          </wp:inline>
        </w:drawing>
      </w:r>
    </w:p>
    <w:p w14:paraId="245555E5" w14:textId="77777777" w:rsidR="00F536B3" w:rsidRDefault="00F536B3">
      <w:pPr>
        <w:rPr>
          <w:noProof/>
        </w:rPr>
      </w:pPr>
    </w:p>
    <w:p w14:paraId="401B8670" w14:textId="77777777" w:rsidR="006436D8" w:rsidRDefault="006436D8" w:rsidP="009F702A">
      <w:pPr>
        <w:rPr>
          <w:sz w:val="20"/>
          <w:szCs w:val="20"/>
        </w:rPr>
      </w:pPr>
    </w:p>
    <w:p w14:paraId="405BA26A" w14:textId="0FBF0883" w:rsidR="00ED5268" w:rsidRPr="009D199E" w:rsidRDefault="00ED5268" w:rsidP="00260A48">
      <w:pPr>
        <w:rPr>
          <w:sz w:val="22"/>
        </w:rPr>
      </w:pPr>
      <w:r w:rsidRPr="009D199E">
        <w:rPr>
          <w:sz w:val="22"/>
        </w:rPr>
        <w:t xml:space="preserve">In Fig. B herein, we have provided our validation of the </w:t>
      </w:r>
      <w:r w:rsidR="003B7F13" w:rsidRPr="009D199E">
        <w:rPr>
          <w:sz w:val="22"/>
        </w:rPr>
        <w:t>papers</w:t>
      </w:r>
      <w:r w:rsidRPr="009D199E">
        <w:rPr>
          <w:sz w:val="22"/>
        </w:rPr>
        <w:t xml:space="preserve">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00274038" w:rsidRPr="009D199E">
        <w:rPr>
          <w:sz w:val="22"/>
        </w:rPr>
        <w:t>. However,</w:t>
      </w:r>
      <w:r w:rsidRPr="009D199E">
        <w:rPr>
          <w:sz w:val="22"/>
        </w:rPr>
        <w:t xml:space="preserve">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167297D9" w14:textId="77777777" w:rsidR="00ED5268" w:rsidRDefault="00ED5268" w:rsidP="009F702A">
      <w:pPr>
        <w:rPr>
          <w:sz w:val="20"/>
          <w:szCs w:val="20"/>
        </w:rPr>
      </w:pPr>
    </w:p>
    <w:p w14:paraId="24E46105" w14:textId="77777777" w:rsidR="00F536B3" w:rsidRDefault="00F536B3" w:rsidP="009F702A">
      <w:pPr>
        <w:rPr>
          <w:sz w:val="20"/>
          <w:szCs w:val="20"/>
        </w:rPr>
      </w:pPr>
    </w:p>
    <w:p w14:paraId="686ACA24" w14:textId="77777777" w:rsidR="00F536B3" w:rsidRDefault="00F536B3" w:rsidP="009F702A">
      <w:pPr>
        <w:rPr>
          <w:sz w:val="20"/>
          <w:szCs w:val="20"/>
        </w:rPr>
      </w:pPr>
    </w:p>
    <w:p w14:paraId="15B39392" w14:textId="77777777" w:rsidR="00D00C59" w:rsidRDefault="00D00C59" w:rsidP="004F5BF8">
      <w:pPr>
        <w:ind w:firstLine="0"/>
        <w:rPr>
          <w:sz w:val="20"/>
          <w:szCs w:val="20"/>
        </w:rPr>
      </w:pPr>
    </w:p>
    <w:p w14:paraId="2530F765" w14:textId="51626929" w:rsidR="00C621CC" w:rsidRDefault="00C621CC"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lastRenderedPageBreak/>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4689CEAE" w14:textId="77777777" w:rsidR="00A42F85" w:rsidRPr="001E1E04" w:rsidRDefault="00A42F85"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4A346477" w14:textId="5AF60129" w:rsidR="005C05D4" w:rsidRPr="001E1E04" w:rsidRDefault="00B1373A" w:rsidP="001E1E04">
      <w:pPr>
        <w:ind w:firstLine="0"/>
        <w:rPr>
          <w:i/>
          <w:sz w:val="22"/>
        </w:rPr>
      </w:pPr>
      <w:r w:rsidRPr="001E1E04">
        <w:rPr>
          <w:sz w:val="22"/>
        </w:rPr>
        <w:t>We conclude that the results in this paper</w:t>
      </w:r>
      <w:r w:rsidR="001E1E04" w:rsidRPr="001E1E04">
        <w:rPr>
          <w:sz w:val="22"/>
        </w:rPr>
        <w:t xml:space="preserve"> </w:t>
      </w:r>
      <w:r w:rsidR="001E1E04" w:rsidRPr="007A401B">
        <w:rPr>
          <w:sz w:val="22"/>
          <w:u w:val="single"/>
        </w:rPr>
        <w:t>independently</w:t>
      </w:r>
      <w:r w:rsidR="001E1E04" w:rsidRPr="001E1E04">
        <w:rPr>
          <w:sz w:val="22"/>
        </w:rPr>
        <w:t xml:space="preserve"> validate Quinn’s Law in as much as all the relevant underlying parameters pertaining to the packed conduit were measured </w:t>
      </w:r>
      <w:r w:rsidR="001E1E04" w:rsidRPr="007A401B">
        <w:rPr>
          <w:sz w:val="22"/>
          <w:u w:val="single"/>
        </w:rPr>
        <w:t>independently.</w:t>
      </w:r>
      <w:r w:rsidR="00727ED4" w:rsidRPr="001E1E04">
        <w:rPr>
          <w:sz w:val="22"/>
        </w:rPr>
        <w:t xml:space="preserve"> </w:t>
      </w:r>
    </w:p>
    <w:p w14:paraId="78AF80FA" w14:textId="77777777" w:rsidR="00727ED4" w:rsidRPr="001E1E04" w:rsidRDefault="00727ED4" w:rsidP="00BE1E85">
      <w:pPr>
        <w:ind w:firstLine="0"/>
        <w:rPr>
          <w:sz w:val="22"/>
        </w:rPr>
      </w:pPr>
    </w:p>
    <w:p w14:paraId="7FF3E902" w14:textId="19FDEE39" w:rsidR="00727ED4" w:rsidRPr="001E1E04" w:rsidRDefault="00727ED4" w:rsidP="00727ED4">
      <w:pPr>
        <w:ind w:firstLine="0"/>
        <w:rPr>
          <w:sz w:val="22"/>
        </w:rPr>
      </w:pPr>
      <w:r w:rsidRPr="001E1E04">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1E1E04">
        <w:rPr>
          <w:sz w:val="22"/>
        </w:rPr>
        <w:t>the</w:t>
      </w:r>
      <w:r w:rsidRPr="001E1E04">
        <w:rPr>
          <w:sz w:val="22"/>
        </w:rPr>
        <w:t xml:space="preserve"> QFFM prescribes need to be </w:t>
      </w:r>
      <w:r w:rsidR="004E0F26" w:rsidRPr="001E1E04">
        <w:rPr>
          <w:sz w:val="22"/>
        </w:rPr>
        <w:t>corrected, is</w:t>
      </w:r>
      <w:r w:rsidRPr="001E1E04">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604D4" w14:textId="77777777" w:rsidR="00FF7214" w:rsidRDefault="00FF7214" w:rsidP="00C451C1">
      <w:r>
        <w:separator/>
      </w:r>
    </w:p>
  </w:endnote>
  <w:endnote w:type="continuationSeparator" w:id="0">
    <w:p w14:paraId="534C6B6B" w14:textId="77777777" w:rsidR="00FF7214" w:rsidRDefault="00FF7214" w:rsidP="00C451C1">
      <w:r>
        <w:continuationSeparator/>
      </w:r>
    </w:p>
  </w:endnote>
  <w:endnote w:type="continuationNotice" w:id="1">
    <w:p w14:paraId="67FA14B7" w14:textId="77777777" w:rsidR="00FF7214" w:rsidRDefault="00FF72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Bold">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9371D96" w:rsidR="00405986" w:rsidRDefault="00EF4C61" w:rsidP="001F348A">
    <w:pPr>
      <w:pStyle w:val="Footer"/>
      <w:tabs>
        <w:tab w:val="clear" w:pos="4680"/>
        <w:tab w:val="left" w:pos="0"/>
      </w:tabs>
    </w:pPr>
    <w:r>
      <w:t>5</w:t>
    </w:r>
    <w:r w:rsidR="00756776">
      <w:t>/</w:t>
    </w:r>
    <w:r w:rsidR="00C35F21">
      <w:t>17</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C00BB9">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C00BB9">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62121" w14:textId="77777777" w:rsidR="00FF7214" w:rsidRDefault="00FF7214" w:rsidP="00C451C1">
      <w:r>
        <w:separator/>
      </w:r>
    </w:p>
  </w:footnote>
  <w:footnote w:type="continuationSeparator" w:id="0">
    <w:p w14:paraId="1F8C1760" w14:textId="77777777" w:rsidR="00FF7214" w:rsidRDefault="00FF7214" w:rsidP="00C451C1">
      <w:r>
        <w:continuationSeparator/>
      </w:r>
    </w:p>
  </w:footnote>
  <w:footnote w:type="continuationNotice" w:id="1">
    <w:p w14:paraId="56170561" w14:textId="77777777" w:rsidR="00FF7214" w:rsidRDefault="00FF72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7B78"/>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0BB9"/>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E1D7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6028F"/>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 w:val="00FF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6 Pressure Drop v Mobile Phase Velocity</a:t>
            </a:r>
          </a:p>
        </c:rich>
      </c:tx>
      <c:overlay val="0"/>
    </c:title>
    <c:autoTitleDeleted val="0"/>
    <c:plotArea>
      <c:layout>
        <c:manualLayout>
          <c:layoutTarget val="inner"/>
          <c:xMode val="edge"/>
          <c:yMode val="edge"/>
          <c:x val="0.14856443870014774"/>
          <c:y val="0.13276839111357069"/>
          <c:w val="0.77683965709407976"/>
          <c:h val="0.6013864020422105"/>
        </c:manualLayout>
      </c:layout>
      <c:scatterChart>
        <c:scatterStyle val="smoothMarker"/>
        <c:varyColors val="0"/>
        <c:ser>
          <c:idx val="0"/>
          <c:order val="0"/>
          <c:tx>
            <c:v>1.7 micron</c:v>
          </c:tx>
          <c:marker>
            <c:symbol val="none"/>
          </c:marker>
          <c:xVal>
            <c:numRef>
              <c:f>DeStefano!$DZ$7:$DZ$12</c:f>
              <c:numCache>
                <c:formatCode>0.000</c:formatCode>
                <c:ptCount val="6"/>
                <c:pt idx="0">
                  <c:v>5.0747125677034145E-7</c:v>
                </c:pt>
                <c:pt idx="1">
                  <c:v>8.457854279505693E-2</c:v>
                </c:pt>
                <c:pt idx="2">
                  <c:v>0.16915708559011386</c:v>
                </c:pt>
                <c:pt idx="3">
                  <c:v>0.25373562838517072</c:v>
                </c:pt>
                <c:pt idx="4">
                  <c:v>0.33831417118022772</c:v>
                </c:pt>
                <c:pt idx="5">
                  <c:v>0.43980842253429592</c:v>
                </c:pt>
              </c:numCache>
            </c:numRef>
          </c:xVal>
          <c:yVal>
            <c:numRef>
              <c:f>DeStefano!$DI$7:$DI$12</c:f>
              <c:numCache>
                <c:formatCode>#,##0</c:formatCode>
                <c:ptCount val="6"/>
                <c:pt idx="0">
                  <c:v>4.4534640120534244E-4</c:v>
                </c:pt>
                <c:pt idx="1">
                  <c:v>74.225625358590662</c:v>
                </c:pt>
                <c:pt idx="2">
                  <c:v>148.4537010472838</c:v>
                </c:pt>
                <c:pt idx="3">
                  <c:v>222.68422706607942</c:v>
                </c:pt>
                <c:pt idx="4">
                  <c:v>296.91720341497756</c:v>
                </c:pt>
                <c:pt idx="5">
                  <c:v>386.00000946939042</c:v>
                </c:pt>
              </c:numCache>
            </c:numRef>
          </c:yVal>
          <c:smooth val="1"/>
        </c:ser>
        <c:ser>
          <c:idx val="1"/>
          <c:order val="1"/>
          <c:tx>
            <c:v>1.8 micron</c:v>
          </c:tx>
          <c:marker>
            <c:symbol val="none"/>
          </c:marker>
          <c:xVal>
            <c:numRef>
              <c:f>DeStefano!$DZ$21:$DZ$28</c:f>
              <c:numCache>
                <c:formatCode>0.000</c:formatCode>
                <c:ptCount val="8"/>
                <c:pt idx="0">
                  <c:v>5.1259722906095099E-7</c:v>
                </c:pt>
                <c:pt idx="1">
                  <c:v>8.5432871510158506E-2</c:v>
                </c:pt>
                <c:pt idx="2">
                  <c:v>0.17086574302031701</c:v>
                </c:pt>
                <c:pt idx="3">
                  <c:v>0.25629861453047548</c:v>
                </c:pt>
                <c:pt idx="4">
                  <c:v>0.34173148604063402</c:v>
                </c:pt>
                <c:pt idx="5">
                  <c:v>0.4442509318528241</c:v>
                </c:pt>
                <c:pt idx="6">
                  <c:v>0.51259722906095095</c:v>
                </c:pt>
                <c:pt idx="7">
                  <c:v>0.64074653632618905</c:v>
                </c:pt>
              </c:numCache>
            </c:numRef>
          </c:xVal>
          <c:yVal>
            <c:numRef>
              <c:f>DeStefano!$DI$21:$DI$28</c:f>
              <c:numCache>
                <c:formatCode>#,##0</c:formatCode>
                <c:ptCount val="8"/>
                <c:pt idx="0">
                  <c:v>2.9516664012413406E-4</c:v>
                </c:pt>
                <c:pt idx="1">
                  <c:v>49.195181531668567</c:v>
                </c:pt>
                <c:pt idx="2">
                  <c:v>98.391846094194449</c:v>
                </c:pt>
                <c:pt idx="3">
                  <c:v>147.58999368757765</c:v>
                </c:pt>
                <c:pt idx="4">
                  <c:v>196.7896243118181</c:v>
                </c:pt>
                <c:pt idx="5">
                  <c:v>255.83113866163822</c:v>
                </c:pt>
                <c:pt idx="6">
                  <c:v>295.19333465287093</c:v>
                </c:pt>
                <c:pt idx="7">
                  <c:v>369.00001036466119</c:v>
                </c:pt>
              </c:numCache>
            </c:numRef>
          </c:yVal>
          <c:smooth val="1"/>
        </c:ser>
        <c:ser>
          <c:idx val="2"/>
          <c:order val="2"/>
          <c:tx>
            <c:v>1.9 micron</c:v>
          </c:tx>
          <c:marker>
            <c:symbol val="none"/>
          </c:marker>
          <c:xVal>
            <c:numRef>
              <c:f>DeStefano!$DZ$35:$DZ$47</c:f>
              <c:numCache>
                <c:formatCode>0.000</c:formatCode>
                <c:ptCount val="13"/>
                <c:pt idx="0">
                  <c:v>4.6978580672861727E-7</c:v>
                </c:pt>
                <c:pt idx="1">
                  <c:v>7.8297634454769546E-2</c:v>
                </c:pt>
                <c:pt idx="2">
                  <c:v>0.15659526890953909</c:v>
                </c:pt>
                <c:pt idx="3">
                  <c:v>0.2348929033643086</c:v>
                </c:pt>
                <c:pt idx="4">
                  <c:v>0.31319053781907819</c:v>
                </c:pt>
                <c:pt idx="5">
                  <c:v>0.40714769916480154</c:v>
                </c:pt>
                <c:pt idx="6">
                  <c:v>0.46978580672861719</c:v>
                </c:pt>
                <c:pt idx="7">
                  <c:v>0.58723225841077198</c:v>
                </c:pt>
                <c:pt idx="8">
                  <c:v>0.62638107563815637</c:v>
                </c:pt>
                <c:pt idx="9">
                  <c:v>0.72033823698387978</c:v>
                </c:pt>
                <c:pt idx="10">
                  <c:v>0.78297634454769538</c:v>
                </c:pt>
                <c:pt idx="11">
                  <c:v>0.86127397900246494</c:v>
                </c:pt>
                <c:pt idx="12">
                  <c:v>0.93957161345723439</c:v>
                </c:pt>
              </c:numCache>
            </c:numRef>
          </c:xVal>
          <c:yVal>
            <c:numRef>
              <c:f>DeStefano!$DI$35:$DI$47</c:f>
              <c:numCache>
                <c:formatCode>#,##0</c:formatCode>
                <c:ptCount val="13"/>
                <c:pt idx="0">
                  <c:v>2.4127066136845997E-4</c:v>
                </c:pt>
                <c:pt idx="1">
                  <c:v>40.212389033105033</c:v>
                </c:pt>
                <c:pt idx="2">
                  <c:v>80.426002350279163</c:v>
                </c:pt>
                <c:pt idx="3">
                  <c:v>120.64083995152241</c:v>
                </c:pt>
                <c:pt idx="4">
                  <c:v>160.85690183683477</c:v>
                </c:pt>
                <c:pt idx="5">
                  <c:v>209.11779215418076</c:v>
                </c:pt>
                <c:pt idx="6">
                  <c:v>241.29269845966678</c:v>
                </c:pt>
                <c:pt idx="7">
                  <c:v>301.6227596724724</c:v>
                </c:pt>
                <c:pt idx="8">
                  <c:v>321.73339221877529</c:v>
                </c:pt>
                <c:pt idx="9">
                  <c:v>370.00015909965299</c:v>
                </c:pt>
                <c:pt idx="10">
                  <c:v>402.17898311416008</c:v>
                </c:pt>
                <c:pt idx="11">
                  <c:v>442.40361498795619</c:v>
                </c:pt>
                <c:pt idx="12">
                  <c:v>482.62947114582141</c:v>
                </c:pt>
              </c:numCache>
            </c:numRef>
          </c:yVal>
          <c:smooth val="1"/>
        </c:ser>
        <c:ser>
          <c:idx val="3"/>
          <c:order val="3"/>
          <c:tx>
            <c:v>2.7 micron</c:v>
          </c:tx>
          <c:marker>
            <c:symbol val="none"/>
          </c:marker>
          <c:xVal>
            <c:numRef>
              <c:f>DeStefano!$DZ$49:$DZ$59</c:f>
              <c:numCache>
                <c:formatCode>0.000</c:formatCode>
                <c:ptCount val="11"/>
                <c:pt idx="0">
                  <c:v>5.1723654990564998E-7</c:v>
                </c:pt>
                <c:pt idx="1">
                  <c:v>8.620609165094166E-2</c:v>
                </c:pt>
                <c:pt idx="2">
                  <c:v>0.17241218330188332</c:v>
                </c:pt>
                <c:pt idx="3">
                  <c:v>0.25861827495282497</c:v>
                </c:pt>
                <c:pt idx="4">
                  <c:v>0.34482436660376664</c:v>
                </c:pt>
                <c:pt idx="5">
                  <c:v>0.44827167658489653</c:v>
                </c:pt>
                <c:pt idx="6">
                  <c:v>0.51723654990564993</c:v>
                </c:pt>
                <c:pt idx="7">
                  <c:v>0.64654568738206275</c:v>
                </c:pt>
                <c:pt idx="8">
                  <c:v>0.68964873320753328</c:v>
                </c:pt>
                <c:pt idx="9">
                  <c:v>0.7758548248584749</c:v>
                </c:pt>
                <c:pt idx="10">
                  <c:v>0.86206091650941652</c:v>
                </c:pt>
              </c:numCache>
            </c:numRef>
          </c:xVal>
          <c:yVal>
            <c:numRef>
              <c:f>DeStefano!$DI$49:$DI$60</c:f>
              <c:numCache>
                <c:formatCode>#,##0</c:formatCode>
                <c:ptCount val="12"/>
                <c:pt idx="0">
                  <c:v>1.3393004026370485E-4</c:v>
                </c:pt>
                <c:pt idx="1">
                  <c:v>22.322183104746301</c:v>
                </c:pt>
                <c:pt idx="2">
                  <c:v>44.64538567053367</c:v>
                </c:pt>
                <c:pt idx="3">
                  <c:v>66.969607697362122</c:v>
                </c:pt>
                <c:pt idx="4">
                  <c:v>89.294849185231655</c:v>
                </c:pt>
                <c:pt idx="5">
                  <c:v>116.08648465924928</c:v>
                </c:pt>
                <c:pt idx="6">
                  <c:v>133.94839054409391</c:v>
                </c:pt>
                <c:pt idx="7">
                  <c:v>167.44122264847354</c:v>
                </c:pt>
                <c:pt idx="8">
                  <c:v>178.60600974712054</c:v>
                </c:pt>
                <c:pt idx="9">
                  <c:v>200.93634854019544</c:v>
                </c:pt>
                <c:pt idx="10">
                  <c:v>223.26770679431138</c:v>
                </c:pt>
                <c:pt idx="11">
                  <c:v>259.00000047986254</c:v>
                </c:pt>
              </c:numCache>
            </c:numRef>
          </c:yVal>
          <c:smooth val="1"/>
        </c:ser>
        <c:dLbls>
          <c:showLegendKey val="0"/>
          <c:showVal val="0"/>
          <c:showCatName val="0"/>
          <c:showSerName val="0"/>
          <c:showPercent val="0"/>
          <c:showBubbleSize val="0"/>
        </c:dLbls>
        <c:axId val="354706176"/>
        <c:axId val="354708096"/>
      </c:scatterChart>
      <c:valAx>
        <c:axId val="354706176"/>
        <c:scaling>
          <c:orientation val="minMax"/>
          <c:max val="1.2"/>
        </c:scaling>
        <c:delete val="0"/>
        <c:axPos val="b"/>
        <c:majorGridlines/>
        <c:title>
          <c:tx>
            <c:rich>
              <a:bodyPr/>
              <a:lstStyle/>
              <a:p>
                <a:pPr>
                  <a:defRPr/>
                </a:pPr>
                <a:r>
                  <a:rPr lang="en-US">
                    <a:latin typeface="Symbol" pitchFamily="18" charset="2"/>
                    <a:cs typeface="Times New Roman" pitchFamily="18" charset="0"/>
                  </a:rPr>
                  <a:t>m</a:t>
                </a:r>
                <a:r>
                  <a:rPr lang="en-US" baseline="-25000">
                    <a:latin typeface="Times New Roman" pitchFamily="18" charset="0"/>
                    <a:cs typeface="Times New Roman" pitchFamily="18" charset="0"/>
                  </a:rPr>
                  <a:t>t</a:t>
                </a:r>
                <a:r>
                  <a:rPr lang="en-US">
                    <a:latin typeface="Times New Roman" pitchFamily="18" charset="0"/>
                    <a:cs typeface="Times New Roman" pitchFamily="18" charset="0"/>
                  </a:rPr>
                  <a:t> </a:t>
                </a:r>
                <a:r>
                  <a:rPr lang="en-US"/>
                  <a:t>(cm/sec)</a:t>
                </a:r>
              </a:p>
            </c:rich>
          </c:tx>
          <c:overlay val="0"/>
        </c:title>
        <c:numFmt formatCode="#,##0.00" sourceLinked="0"/>
        <c:majorTickMark val="none"/>
        <c:minorTickMark val="none"/>
        <c:tickLblPos val="nextTo"/>
        <c:txPr>
          <a:bodyPr/>
          <a:lstStyle/>
          <a:p>
            <a:pPr>
              <a:defRPr sz="800" b="1"/>
            </a:pPr>
            <a:endParaRPr lang="en-US"/>
          </a:p>
        </c:txPr>
        <c:crossAx val="354708096"/>
        <c:crosses val="autoZero"/>
        <c:crossBetween val="midCat"/>
        <c:majorUnit val="0.2"/>
      </c:valAx>
      <c:valAx>
        <c:axId val="354708096"/>
        <c:scaling>
          <c:orientation val="minMax"/>
          <c:max val="400"/>
        </c:scaling>
        <c:delete val="0"/>
        <c:axPos val="l"/>
        <c:majorGridlines/>
        <c:title>
          <c:tx>
            <c:rich>
              <a:bodyPr rot="0" vert="horz"/>
              <a:lstStyle/>
              <a:p>
                <a:pPr>
                  <a:defRPr/>
                </a:pPr>
                <a:r>
                  <a:rPr lang="en-US">
                    <a:latin typeface="Symbol" pitchFamily="18" charset="2"/>
                  </a:rPr>
                  <a:t>D</a:t>
                </a:r>
                <a:r>
                  <a:rPr lang="en-US"/>
                  <a:t>P</a:t>
                </a:r>
              </a:p>
              <a:p>
                <a:pPr>
                  <a:defRPr/>
                </a:pPr>
                <a:r>
                  <a:rPr lang="en-US"/>
                  <a:t>(bar)</a:t>
                </a:r>
              </a:p>
            </c:rich>
          </c:tx>
          <c:overlay val="0"/>
        </c:title>
        <c:numFmt formatCode="#,##0" sourceLinked="1"/>
        <c:majorTickMark val="none"/>
        <c:minorTickMark val="none"/>
        <c:tickLblPos val="nextTo"/>
        <c:txPr>
          <a:bodyPr/>
          <a:lstStyle/>
          <a:p>
            <a:pPr>
              <a:defRPr sz="800" b="1"/>
            </a:pPr>
            <a:endParaRPr lang="en-US"/>
          </a:p>
        </c:txPr>
        <c:crossAx val="354706176"/>
        <c:crosses val="autoZero"/>
        <c:crossBetween val="midCat"/>
        <c:majorUnit val="100"/>
      </c:valAx>
    </c:plotArea>
    <c:legend>
      <c:legendPos val="b"/>
      <c:layout>
        <c:manualLayout>
          <c:xMode val="edge"/>
          <c:yMode val="edge"/>
          <c:x val="2.5071472168693158E-3"/>
          <c:y val="0.90829719915147589"/>
          <c:w val="0.98992463969931244"/>
          <c:h val="6.5198673082531355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7 Pressure Drop v Flow Rate</a:t>
            </a:r>
          </a:p>
        </c:rich>
      </c:tx>
      <c:overlay val="0"/>
    </c:title>
    <c:autoTitleDeleted val="0"/>
    <c:plotArea>
      <c:layout>
        <c:manualLayout>
          <c:layoutTarget val="inner"/>
          <c:xMode val="edge"/>
          <c:yMode val="edge"/>
          <c:x val="0.14856443870014774"/>
          <c:y val="0.13276839111357069"/>
          <c:w val="0.77683965709407976"/>
          <c:h val="0.6013864020422105"/>
        </c:manualLayout>
      </c:layout>
      <c:scatterChart>
        <c:scatterStyle val="smoothMarker"/>
        <c:varyColors val="0"/>
        <c:ser>
          <c:idx val="0"/>
          <c:order val="0"/>
          <c:tx>
            <c:v>1.7 micron</c:v>
          </c:tx>
          <c:marker>
            <c:symbol val="none"/>
          </c:marker>
          <c:xVal>
            <c:numRef>
              <c:f>DeStefano!$EJ$7:$EJ$12</c:f>
              <c:numCache>
                <c:formatCode>0.00</c:formatCode>
                <c:ptCount val="6"/>
                <c:pt idx="0" formatCode="0.E+00">
                  <c:v>5.9999999999999997E-7</c:v>
                </c:pt>
                <c:pt idx="1">
                  <c:v>0.1</c:v>
                </c:pt>
                <c:pt idx="2">
                  <c:v>0.2</c:v>
                </c:pt>
                <c:pt idx="3">
                  <c:v>0.3</c:v>
                </c:pt>
                <c:pt idx="4">
                  <c:v>0.4</c:v>
                </c:pt>
                <c:pt idx="5">
                  <c:v>0.51999999999999991</c:v>
                </c:pt>
              </c:numCache>
            </c:numRef>
          </c:xVal>
          <c:yVal>
            <c:numRef>
              <c:f>DeStefano!$DI$7:$DI$12</c:f>
              <c:numCache>
                <c:formatCode>#,##0</c:formatCode>
                <c:ptCount val="6"/>
                <c:pt idx="0">
                  <c:v>4.4534640120534244E-4</c:v>
                </c:pt>
                <c:pt idx="1">
                  <c:v>74.225625358590662</c:v>
                </c:pt>
                <c:pt idx="2">
                  <c:v>148.4537010472838</c:v>
                </c:pt>
                <c:pt idx="3">
                  <c:v>222.68422706607942</c:v>
                </c:pt>
                <c:pt idx="4">
                  <c:v>296.91720341497756</c:v>
                </c:pt>
                <c:pt idx="5">
                  <c:v>386.00000946939042</c:v>
                </c:pt>
              </c:numCache>
            </c:numRef>
          </c:yVal>
          <c:smooth val="1"/>
        </c:ser>
        <c:ser>
          <c:idx val="1"/>
          <c:order val="1"/>
          <c:tx>
            <c:v>1.8 micron</c:v>
          </c:tx>
          <c:marker>
            <c:symbol val="none"/>
          </c:marker>
          <c:xVal>
            <c:numRef>
              <c:f>DeStefano!$EJ$21:$EJ$28</c:f>
              <c:numCache>
                <c:formatCode>0.00</c:formatCode>
                <c:ptCount val="8"/>
                <c:pt idx="0" formatCode="0.E+00">
                  <c:v>5.9999999999999997E-7</c:v>
                </c:pt>
                <c:pt idx="1">
                  <c:v>0.1</c:v>
                </c:pt>
                <c:pt idx="2">
                  <c:v>0.2</c:v>
                </c:pt>
                <c:pt idx="3">
                  <c:v>0.3</c:v>
                </c:pt>
                <c:pt idx="4">
                  <c:v>0.4</c:v>
                </c:pt>
                <c:pt idx="5">
                  <c:v>0.51999999999999991</c:v>
                </c:pt>
                <c:pt idx="6">
                  <c:v>0.6</c:v>
                </c:pt>
                <c:pt idx="7">
                  <c:v>0.75000000000000044</c:v>
                </c:pt>
              </c:numCache>
            </c:numRef>
          </c:xVal>
          <c:yVal>
            <c:numRef>
              <c:f>DeStefano!$DI$21:$DI$28</c:f>
              <c:numCache>
                <c:formatCode>#,##0</c:formatCode>
                <c:ptCount val="8"/>
                <c:pt idx="0">
                  <c:v>2.9516664012413406E-4</c:v>
                </c:pt>
                <c:pt idx="1">
                  <c:v>49.195181531668567</c:v>
                </c:pt>
                <c:pt idx="2">
                  <c:v>98.391846094194449</c:v>
                </c:pt>
                <c:pt idx="3">
                  <c:v>147.58999368757765</c:v>
                </c:pt>
                <c:pt idx="4">
                  <c:v>196.7896243118181</c:v>
                </c:pt>
                <c:pt idx="5">
                  <c:v>255.83113866163822</c:v>
                </c:pt>
                <c:pt idx="6">
                  <c:v>295.19333465287093</c:v>
                </c:pt>
                <c:pt idx="7">
                  <c:v>369.00001036466119</c:v>
                </c:pt>
              </c:numCache>
            </c:numRef>
          </c:yVal>
          <c:smooth val="1"/>
        </c:ser>
        <c:ser>
          <c:idx val="2"/>
          <c:order val="2"/>
          <c:tx>
            <c:v>1.9 micron</c:v>
          </c:tx>
          <c:marker>
            <c:symbol val="none"/>
          </c:marker>
          <c:xVal>
            <c:numRef>
              <c:f>DeStefano!$EJ$35:$EJ$47</c:f>
              <c:numCache>
                <c:formatCode>0.00</c:formatCode>
                <c:ptCount val="13"/>
                <c:pt idx="0" formatCode="0.E+00">
                  <c:v>5.9999999999999997E-7</c:v>
                </c:pt>
                <c:pt idx="1">
                  <c:v>0.1</c:v>
                </c:pt>
                <c:pt idx="2">
                  <c:v>0.2</c:v>
                </c:pt>
                <c:pt idx="3">
                  <c:v>0.3</c:v>
                </c:pt>
                <c:pt idx="4">
                  <c:v>0.4</c:v>
                </c:pt>
                <c:pt idx="5">
                  <c:v>0.51999999999999991</c:v>
                </c:pt>
                <c:pt idx="6">
                  <c:v>0.6</c:v>
                </c:pt>
                <c:pt idx="7">
                  <c:v>0.75000000000000044</c:v>
                </c:pt>
                <c:pt idx="8">
                  <c:v>0.8</c:v>
                </c:pt>
                <c:pt idx="9">
                  <c:v>0.91999999999999993</c:v>
                </c:pt>
                <c:pt idx="10">
                  <c:v>1</c:v>
                </c:pt>
                <c:pt idx="11">
                  <c:v>1.1000000000000001</c:v>
                </c:pt>
                <c:pt idx="12">
                  <c:v>1.2</c:v>
                </c:pt>
              </c:numCache>
            </c:numRef>
          </c:xVal>
          <c:yVal>
            <c:numRef>
              <c:f>DeStefano!$DI$35:$DI$47</c:f>
              <c:numCache>
                <c:formatCode>#,##0</c:formatCode>
                <c:ptCount val="13"/>
                <c:pt idx="0">
                  <c:v>2.4127066136845997E-4</c:v>
                </c:pt>
                <c:pt idx="1">
                  <c:v>40.212389033105033</c:v>
                </c:pt>
                <c:pt idx="2">
                  <c:v>80.426002350279163</c:v>
                </c:pt>
                <c:pt idx="3">
                  <c:v>120.64083995152241</c:v>
                </c:pt>
                <c:pt idx="4">
                  <c:v>160.85690183683477</c:v>
                </c:pt>
                <c:pt idx="5">
                  <c:v>209.11779215418076</c:v>
                </c:pt>
                <c:pt idx="6">
                  <c:v>241.29269845966678</c:v>
                </c:pt>
                <c:pt idx="7">
                  <c:v>301.6227596724724</c:v>
                </c:pt>
                <c:pt idx="8">
                  <c:v>321.73339221877529</c:v>
                </c:pt>
                <c:pt idx="9">
                  <c:v>370.00015909965299</c:v>
                </c:pt>
                <c:pt idx="10">
                  <c:v>402.17898311416008</c:v>
                </c:pt>
                <c:pt idx="11">
                  <c:v>442.40361498795619</c:v>
                </c:pt>
                <c:pt idx="12">
                  <c:v>482.62947114582141</c:v>
                </c:pt>
              </c:numCache>
            </c:numRef>
          </c:yVal>
          <c:smooth val="1"/>
        </c:ser>
        <c:ser>
          <c:idx val="3"/>
          <c:order val="3"/>
          <c:tx>
            <c:v>2.7 micron</c:v>
          </c:tx>
          <c:marker>
            <c:symbol val="none"/>
          </c:marker>
          <c:xVal>
            <c:numRef>
              <c:f>DeStefano!$EJ$49:$EJ$60</c:f>
              <c:numCache>
                <c:formatCode>0.00</c:formatCode>
                <c:ptCount val="12"/>
                <c:pt idx="0" formatCode="0.E+00">
                  <c:v>5.9999999999999997E-7</c:v>
                </c:pt>
                <c:pt idx="1">
                  <c:v>0.1</c:v>
                </c:pt>
                <c:pt idx="2">
                  <c:v>0.2</c:v>
                </c:pt>
                <c:pt idx="3">
                  <c:v>0.3</c:v>
                </c:pt>
                <c:pt idx="4">
                  <c:v>0.4</c:v>
                </c:pt>
                <c:pt idx="5">
                  <c:v>0.51999999999999991</c:v>
                </c:pt>
                <c:pt idx="6">
                  <c:v>0.6</c:v>
                </c:pt>
                <c:pt idx="7">
                  <c:v>0.75000000000000044</c:v>
                </c:pt>
                <c:pt idx="8">
                  <c:v>0.8</c:v>
                </c:pt>
                <c:pt idx="9">
                  <c:v>0.9</c:v>
                </c:pt>
                <c:pt idx="10">
                  <c:v>1</c:v>
                </c:pt>
                <c:pt idx="11">
                  <c:v>1.1600000000000006</c:v>
                </c:pt>
              </c:numCache>
            </c:numRef>
          </c:xVal>
          <c:yVal>
            <c:numRef>
              <c:f>DeStefano!$DI$49:$DI$60</c:f>
              <c:numCache>
                <c:formatCode>#,##0</c:formatCode>
                <c:ptCount val="12"/>
                <c:pt idx="0">
                  <c:v>1.3393004026370485E-4</c:v>
                </c:pt>
                <c:pt idx="1">
                  <c:v>22.322183104746301</c:v>
                </c:pt>
                <c:pt idx="2">
                  <c:v>44.64538567053367</c:v>
                </c:pt>
                <c:pt idx="3">
                  <c:v>66.969607697362122</c:v>
                </c:pt>
                <c:pt idx="4">
                  <c:v>89.294849185231655</c:v>
                </c:pt>
                <c:pt idx="5">
                  <c:v>116.08648465924928</c:v>
                </c:pt>
                <c:pt idx="6">
                  <c:v>133.94839054409391</c:v>
                </c:pt>
                <c:pt idx="7">
                  <c:v>167.44122264847354</c:v>
                </c:pt>
                <c:pt idx="8">
                  <c:v>178.60600974712054</c:v>
                </c:pt>
                <c:pt idx="9">
                  <c:v>200.93634854019544</c:v>
                </c:pt>
                <c:pt idx="10">
                  <c:v>223.26770679431138</c:v>
                </c:pt>
                <c:pt idx="11">
                  <c:v>259.00000047986254</c:v>
                </c:pt>
              </c:numCache>
            </c:numRef>
          </c:yVal>
          <c:smooth val="1"/>
        </c:ser>
        <c:dLbls>
          <c:showLegendKey val="0"/>
          <c:showVal val="0"/>
          <c:showCatName val="0"/>
          <c:showSerName val="0"/>
          <c:showPercent val="0"/>
          <c:showBubbleSize val="0"/>
        </c:dLbls>
        <c:axId val="389305856"/>
        <c:axId val="389307776"/>
      </c:scatterChart>
      <c:valAx>
        <c:axId val="389305856"/>
        <c:scaling>
          <c:orientation val="minMax"/>
          <c:max val="1.2"/>
        </c:scaling>
        <c:delete val="0"/>
        <c:axPos val="b"/>
        <c:majorGridlines/>
        <c:title>
          <c:tx>
            <c:rich>
              <a:bodyPr/>
              <a:lstStyle/>
              <a:p>
                <a:pPr>
                  <a:defRPr/>
                </a:pPr>
                <a:r>
                  <a:rPr lang="en-US">
                    <a:latin typeface="Times New Roman" pitchFamily="18" charset="0"/>
                    <a:cs typeface="Times New Roman" pitchFamily="18" charset="0"/>
                  </a:rPr>
                  <a:t>Q </a:t>
                </a:r>
                <a:r>
                  <a:rPr lang="en-US"/>
                  <a:t>(mL/min)</a:t>
                </a:r>
              </a:p>
            </c:rich>
          </c:tx>
          <c:overlay val="0"/>
        </c:title>
        <c:numFmt formatCode="#,##0.00" sourceLinked="0"/>
        <c:majorTickMark val="none"/>
        <c:minorTickMark val="none"/>
        <c:tickLblPos val="nextTo"/>
        <c:txPr>
          <a:bodyPr/>
          <a:lstStyle/>
          <a:p>
            <a:pPr>
              <a:defRPr sz="800" b="1"/>
            </a:pPr>
            <a:endParaRPr lang="en-US"/>
          </a:p>
        </c:txPr>
        <c:crossAx val="389307776"/>
        <c:crosses val="autoZero"/>
        <c:crossBetween val="midCat"/>
        <c:majorUnit val="0.2"/>
      </c:valAx>
      <c:valAx>
        <c:axId val="389307776"/>
        <c:scaling>
          <c:orientation val="minMax"/>
          <c:max val="400"/>
        </c:scaling>
        <c:delete val="0"/>
        <c:axPos val="l"/>
        <c:majorGridlines/>
        <c:title>
          <c:tx>
            <c:rich>
              <a:bodyPr rot="0" vert="horz"/>
              <a:lstStyle/>
              <a:p>
                <a:pPr>
                  <a:defRPr/>
                </a:pPr>
                <a:r>
                  <a:rPr lang="en-US">
                    <a:latin typeface="Symbol" pitchFamily="18" charset="2"/>
                  </a:rPr>
                  <a:t>D</a:t>
                </a:r>
                <a:r>
                  <a:rPr lang="en-US"/>
                  <a:t>P</a:t>
                </a:r>
              </a:p>
              <a:p>
                <a:pPr>
                  <a:defRPr/>
                </a:pPr>
                <a:r>
                  <a:rPr lang="en-US"/>
                  <a:t>(bar)</a:t>
                </a:r>
              </a:p>
            </c:rich>
          </c:tx>
          <c:overlay val="0"/>
        </c:title>
        <c:numFmt formatCode="#,##0" sourceLinked="1"/>
        <c:majorTickMark val="none"/>
        <c:minorTickMark val="none"/>
        <c:tickLblPos val="nextTo"/>
        <c:txPr>
          <a:bodyPr/>
          <a:lstStyle/>
          <a:p>
            <a:pPr>
              <a:defRPr sz="800" b="1"/>
            </a:pPr>
            <a:endParaRPr lang="en-US"/>
          </a:p>
        </c:txPr>
        <c:crossAx val="389305856"/>
        <c:crosses val="autoZero"/>
        <c:crossBetween val="midCat"/>
        <c:majorUnit val="100"/>
      </c:valAx>
    </c:plotArea>
    <c:legend>
      <c:legendPos val="b"/>
      <c:layout>
        <c:manualLayout>
          <c:xMode val="edge"/>
          <c:yMode val="edge"/>
          <c:x val="2.5071472168693158E-3"/>
          <c:y val="0.90829719915147589"/>
          <c:w val="0.99498570556626131"/>
          <c:h val="6.430554057455147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1BE80-3F1B-4C37-A249-BEB3DA00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5</TotalTime>
  <Pages>5</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2017-06-09T15:22:00Z</dcterms:created>
  <dcterms:modified xsi:type="dcterms:W3CDTF">2017-06-09T15:22:00Z</dcterms:modified>
</cp:coreProperties>
</file>