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184EF3" w:rsidRDefault="002554AD" w:rsidP="00184EF3">
      <w:pPr>
        <w:pStyle w:val="Body"/>
        <w:jc w:val="center"/>
        <w:rPr>
          <w:b/>
        </w:rPr>
      </w:pPr>
      <w:bookmarkStart w:id="0" w:name="_GoBack"/>
      <w:bookmarkEnd w:id="0"/>
      <w:r w:rsidRPr="00184EF3">
        <w:rPr>
          <w:b/>
        </w:rPr>
        <w:t xml:space="preserve"> </w:t>
      </w:r>
      <w:r w:rsidR="001C2B61" w:rsidRPr="00184EF3">
        <w:rPr>
          <w:b/>
        </w:rPr>
        <w:t>Universal Published Paper Review</w:t>
      </w:r>
    </w:p>
    <w:p w14:paraId="444FAF21" w14:textId="77777777" w:rsidR="00646C3F" w:rsidRPr="00184EF3" w:rsidRDefault="00E476DF" w:rsidP="00933A92">
      <w:pPr>
        <w:pStyle w:val="5FigureCaption"/>
        <w:jc w:val="center"/>
        <w:rPr>
          <w:rFonts w:ascii="Times New Roman" w:hAnsi="Times New Roman" w:cs="Times New Roman"/>
          <w:szCs w:val="24"/>
        </w:rPr>
      </w:pPr>
      <w:r w:rsidRPr="00184EF3">
        <w:rPr>
          <w:rFonts w:ascii="Times New Roman" w:hAnsi="Times New Roman" w:cs="Times New Roman"/>
          <w:szCs w:val="24"/>
        </w:rPr>
        <w:t>Introduction</w:t>
      </w:r>
    </w:p>
    <w:p w14:paraId="3FFE6678" w14:textId="77777777" w:rsidR="00CB7B9E" w:rsidRPr="00184EF3" w:rsidRDefault="00E476DF" w:rsidP="00E476DF">
      <w:pPr>
        <w:pStyle w:val="5FigureCaption"/>
        <w:jc w:val="left"/>
        <w:rPr>
          <w:rFonts w:ascii="Times New Roman" w:hAnsi="Times New Roman" w:cs="Times New Roman"/>
          <w:b w:val="0"/>
          <w:szCs w:val="24"/>
        </w:rPr>
      </w:pPr>
      <w:r w:rsidRPr="00184EF3">
        <w:rPr>
          <w:rFonts w:ascii="Times New Roman" w:hAnsi="Times New Roman" w:cs="Times New Roman"/>
          <w:b w:val="0"/>
          <w:szCs w:val="24"/>
        </w:rPr>
        <w:t xml:space="preserve">The Quinn Fluid Flow Model (QFFM) is a totally new and novel theory of fluid dynamics in closed conduits. </w:t>
      </w:r>
      <w:r w:rsidR="005A2CB7" w:rsidRPr="00184EF3">
        <w:rPr>
          <w:rFonts w:ascii="Times New Roman" w:hAnsi="Times New Roman" w:cs="Times New Roman"/>
          <w:b w:val="0"/>
          <w:szCs w:val="24"/>
        </w:rPr>
        <w:t xml:space="preserve">The underlying intellectual property is owned by The Wrangler Group LLC (TWG). </w:t>
      </w:r>
      <w:r w:rsidRPr="00184EF3">
        <w:rPr>
          <w:rFonts w:ascii="Times New Roman" w:hAnsi="Times New Roman" w:cs="Times New Roman"/>
          <w:b w:val="0"/>
          <w:szCs w:val="24"/>
        </w:rPr>
        <w:t xml:space="preserve">It has been developed from first principles </w:t>
      </w:r>
      <w:r w:rsidR="0001294D" w:rsidRPr="00184EF3">
        <w:rPr>
          <w:rFonts w:ascii="Times New Roman" w:hAnsi="Times New Roman" w:cs="Times New Roman"/>
          <w:b w:val="0"/>
          <w:szCs w:val="24"/>
        </w:rPr>
        <w:t>and applies</w:t>
      </w:r>
      <w:r w:rsidR="00CB7B9E" w:rsidRPr="00184EF3">
        <w:rPr>
          <w:rFonts w:ascii="Times New Roman" w:hAnsi="Times New Roman" w:cs="Times New Roman"/>
          <w:b w:val="0"/>
          <w:szCs w:val="24"/>
        </w:rPr>
        <w:t xml:space="preserve"> to fluid flow in</w:t>
      </w:r>
      <w:r w:rsidR="000A3B2F" w:rsidRPr="00184EF3">
        <w:rPr>
          <w:rFonts w:ascii="Times New Roman" w:hAnsi="Times New Roman" w:cs="Times New Roman"/>
          <w:b w:val="0"/>
          <w:szCs w:val="24"/>
        </w:rPr>
        <w:t xml:space="preserve"> both packed and empty conduits across the enti</w:t>
      </w:r>
      <w:r w:rsidR="00D31824" w:rsidRPr="00184EF3">
        <w:rPr>
          <w:rFonts w:ascii="Times New Roman" w:hAnsi="Times New Roman" w:cs="Times New Roman"/>
          <w:b w:val="0"/>
          <w:szCs w:val="24"/>
        </w:rPr>
        <w:t xml:space="preserve">re fluid flow regime including </w:t>
      </w:r>
      <w:r w:rsidR="00D31824" w:rsidRPr="00184EF3">
        <w:rPr>
          <w:rFonts w:ascii="Times New Roman" w:hAnsi="Times New Roman" w:cs="Times New Roman"/>
          <w:b w:val="0"/>
          <w:szCs w:val="24"/>
          <w:u w:val="single"/>
        </w:rPr>
        <w:t>laminar</w:t>
      </w:r>
      <w:r w:rsidR="00D31824" w:rsidRPr="00184EF3">
        <w:rPr>
          <w:rFonts w:ascii="Times New Roman" w:hAnsi="Times New Roman" w:cs="Times New Roman"/>
          <w:b w:val="0"/>
          <w:szCs w:val="24"/>
        </w:rPr>
        <w:t xml:space="preserve">, </w:t>
      </w:r>
      <w:r w:rsidR="00D31824" w:rsidRPr="00184EF3">
        <w:rPr>
          <w:rFonts w:ascii="Times New Roman" w:hAnsi="Times New Roman" w:cs="Times New Roman"/>
          <w:b w:val="0"/>
          <w:szCs w:val="24"/>
          <w:u w:val="single"/>
        </w:rPr>
        <w:t>transitional</w:t>
      </w:r>
      <w:r w:rsidR="00D31824" w:rsidRPr="00184EF3">
        <w:rPr>
          <w:rFonts w:ascii="Times New Roman" w:hAnsi="Times New Roman" w:cs="Times New Roman"/>
          <w:b w:val="0"/>
          <w:szCs w:val="24"/>
        </w:rPr>
        <w:t xml:space="preserve"> and</w:t>
      </w:r>
      <w:r w:rsidR="00D31824" w:rsidRPr="00184EF3">
        <w:rPr>
          <w:rFonts w:ascii="Times New Roman" w:hAnsi="Times New Roman" w:cs="Times New Roman"/>
          <w:b w:val="0"/>
          <w:szCs w:val="24"/>
          <w:u w:val="single"/>
        </w:rPr>
        <w:t xml:space="preserve"> t</w:t>
      </w:r>
      <w:r w:rsidR="000A3B2F" w:rsidRPr="00184EF3">
        <w:rPr>
          <w:rFonts w:ascii="Times New Roman" w:hAnsi="Times New Roman" w:cs="Times New Roman"/>
          <w:b w:val="0"/>
          <w:szCs w:val="24"/>
          <w:u w:val="single"/>
        </w:rPr>
        <w:t>urbulent</w:t>
      </w:r>
      <w:r w:rsidR="000A3B2F" w:rsidRPr="00184EF3">
        <w:rPr>
          <w:rFonts w:ascii="Times New Roman" w:hAnsi="Times New Roman" w:cs="Times New Roman"/>
          <w:b w:val="0"/>
          <w:szCs w:val="24"/>
        </w:rPr>
        <w:t>.</w:t>
      </w:r>
      <w:r w:rsidRPr="00184EF3">
        <w:rPr>
          <w:rFonts w:ascii="Times New Roman" w:hAnsi="Times New Roman" w:cs="Times New Roman"/>
          <w:b w:val="0"/>
          <w:szCs w:val="24"/>
        </w:rPr>
        <w:t xml:space="preserve"> </w:t>
      </w:r>
      <w:r w:rsidR="00CB7B9E" w:rsidRPr="00184EF3">
        <w:rPr>
          <w:rFonts w:ascii="Times New Roman" w:hAnsi="Times New Roman" w:cs="Times New Roman"/>
          <w:b w:val="0"/>
          <w:szCs w:val="24"/>
        </w:rPr>
        <w:t xml:space="preserve">The model has been validated by applying it to </w:t>
      </w:r>
      <w:r w:rsidRPr="00184EF3">
        <w:rPr>
          <w:rFonts w:ascii="Times New Roman" w:hAnsi="Times New Roman" w:cs="Times New Roman"/>
          <w:b w:val="0"/>
          <w:szCs w:val="24"/>
        </w:rPr>
        <w:t>classic studies in both categories of flow embodiments</w:t>
      </w:r>
      <w:r w:rsidR="0068474E" w:rsidRPr="00184EF3">
        <w:rPr>
          <w:rFonts w:ascii="Times New Roman" w:hAnsi="Times New Roman" w:cs="Times New Roman"/>
          <w:b w:val="0"/>
          <w:szCs w:val="24"/>
        </w:rPr>
        <w:t xml:space="preserve"> </w:t>
      </w:r>
      <w:r w:rsidR="009A6C6E" w:rsidRPr="00184EF3">
        <w:rPr>
          <w:rFonts w:ascii="Times New Roman" w:hAnsi="Times New Roman" w:cs="Times New Roman"/>
          <w:b w:val="0"/>
          <w:szCs w:val="24"/>
        </w:rPr>
        <w:t>and, in each case, to</w:t>
      </w:r>
      <w:r w:rsidR="0068474E" w:rsidRPr="00184EF3">
        <w:rPr>
          <w:rFonts w:ascii="Times New Roman" w:hAnsi="Times New Roman" w:cs="Times New Roman"/>
          <w:b w:val="0"/>
          <w:szCs w:val="24"/>
        </w:rPr>
        <w:t xml:space="preserve"> studies in all fluid flow regimes.</w:t>
      </w:r>
    </w:p>
    <w:p w14:paraId="1DADEF80" w14:textId="77777777" w:rsidR="00646C3F" w:rsidRPr="00184EF3" w:rsidRDefault="00921B1E" w:rsidP="00E476DF">
      <w:pPr>
        <w:pStyle w:val="5FigureCaption"/>
        <w:jc w:val="left"/>
        <w:rPr>
          <w:rFonts w:ascii="Times New Roman" w:hAnsi="Times New Roman" w:cs="Times New Roman"/>
          <w:b w:val="0"/>
          <w:szCs w:val="24"/>
        </w:rPr>
      </w:pPr>
      <w:r w:rsidRPr="00184EF3">
        <w:rPr>
          <w:rFonts w:ascii="Times New Roman" w:hAnsi="Times New Roman" w:cs="Times New Roman"/>
          <w:b w:val="0"/>
          <w:szCs w:val="24"/>
        </w:rPr>
        <w:t xml:space="preserve">The QFFM </w:t>
      </w:r>
      <w:r w:rsidR="00CB7B9E" w:rsidRPr="00184EF3">
        <w:rPr>
          <w:rFonts w:ascii="Times New Roman" w:hAnsi="Times New Roman" w:cs="Times New Roman"/>
          <w:b w:val="0"/>
          <w:szCs w:val="24"/>
        </w:rPr>
        <w:t xml:space="preserve">can be </w:t>
      </w:r>
      <w:r w:rsidR="0001294D" w:rsidRPr="00184EF3">
        <w:rPr>
          <w:rFonts w:ascii="Times New Roman" w:hAnsi="Times New Roman" w:cs="Times New Roman"/>
          <w:b w:val="0"/>
          <w:szCs w:val="24"/>
        </w:rPr>
        <w:t>expressed in</w:t>
      </w:r>
      <w:r w:rsidRPr="00184EF3">
        <w:rPr>
          <w:rFonts w:ascii="Times New Roman" w:hAnsi="Times New Roman" w:cs="Times New Roman"/>
          <w:b w:val="0"/>
          <w:szCs w:val="24"/>
        </w:rPr>
        <w:t xml:space="preserve"> two formats</w:t>
      </w:r>
      <w:r w:rsidR="00CB7B9E" w:rsidRPr="00184EF3">
        <w:rPr>
          <w:rFonts w:ascii="Times New Roman" w:hAnsi="Times New Roman" w:cs="Times New Roman"/>
          <w:b w:val="0"/>
          <w:szCs w:val="24"/>
        </w:rPr>
        <w:t>.</w:t>
      </w:r>
      <w:r w:rsidRPr="00184EF3">
        <w:rPr>
          <w:rFonts w:ascii="Times New Roman" w:hAnsi="Times New Roman" w:cs="Times New Roman"/>
          <w:b w:val="0"/>
          <w:szCs w:val="24"/>
        </w:rPr>
        <w:t xml:space="preserve"> </w:t>
      </w:r>
      <w:r w:rsidR="00CB7B9E" w:rsidRPr="00184EF3">
        <w:rPr>
          <w:rFonts w:ascii="Times New Roman" w:hAnsi="Times New Roman" w:cs="Times New Roman"/>
          <w:b w:val="0"/>
          <w:szCs w:val="24"/>
        </w:rPr>
        <w:t xml:space="preserve">The first format is </w:t>
      </w:r>
      <w:r w:rsidRPr="00184EF3">
        <w:rPr>
          <w:rFonts w:ascii="Times New Roman" w:hAnsi="Times New Roman" w:cs="Times New Roman"/>
          <w:b w:val="0"/>
          <w:szCs w:val="24"/>
        </w:rPr>
        <w:t xml:space="preserve">a </w:t>
      </w:r>
      <w:r w:rsidRPr="00184EF3">
        <w:rPr>
          <w:rFonts w:ascii="Times New Roman" w:hAnsi="Times New Roman" w:cs="Times New Roman"/>
          <w:b w:val="0"/>
          <w:szCs w:val="24"/>
          <w:u w:val="single"/>
        </w:rPr>
        <w:t>dimensional manifestation</w:t>
      </w:r>
      <w:r w:rsidRPr="00184EF3">
        <w:rPr>
          <w:rFonts w:ascii="Times New Roman" w:hAnsi="Times New Roman" w:cs="Times New Roman"/>
          <w:b w:val="0"/>
          <w:szCs w:val="24"/>
        </w:rPr>
        <w:t xml:space="preserve"> in which </w:t>
      </w:r>
      <w:r w:rsidR="00DF4BAD" w:rsidRPr="00184EF3">
        <w:rPr>
          <w:rFonts w:ascii="Times New Roman" w:hAnsi="Times New Roman" w:cs="Times New Roman"/>
          <w:b w:val="0"/>
          <w:szCs w:val="24"/>
        </w:rPr>
        <w:t>the</w:t>
      </w:r>
      <w:r w:rsidR="00CB7B9E" w:rsidRPr="00184EF3">
        <w:rPr>
          <w:rFonts w:ascii="Times New Roman" w:hAnsi="Times New Roman" w:cs="Times New Roman"/>
          <w:b w:val="0"/>
          <w:szCs w:val="24"/>
        </w:rPr>
        <w:t xml:space="preserve"> measured </w:t>
      </w:r>
      <w:r w:rsidRPr="00184EF3">
        <w:rPr>
          <w:rFonts w:ascii="Times New Roman" w:hAnsi="Times New Roman" w:cs="Times New Roman"/>
          <w:b w:val="0"/>
          <w:szCs w:val="24"/>
        </w:rPr>
        <w:t xml:space="preserve">differential pressure across the ends of a conduit </w:t>
      </w:r>
      <w:r w:rsidR="0001294D" w:rsidRPr="00184EF3">
        <w:rPr>
          <w:rFonts w:ascii="Times New Roman" w:hAnsi="Times New Roman" w:cs="Times New Roman"/>
          <w:b w:val="0"/>
          <w:szCs w:val="24"/>
        </w:rPr>
        <w:t>is compared</w:t>
      </w:r>
      <w:r w:rsidR="00CB7B9E" w:rsidRPr="00184EF3">
        <w:rPr>
          <w:rFonts w:ascii="Times New Roman" w:hAnsi="Times New Roman" w:cs="Times New Roman"/>
          <w:b w:val="0"/>
          <w:szCs w:val="24"/>
        </w:rPr>
        <w:t xml:space="preserve"> to</w:t>
      </w:r>
      <w:r w:rsidRPr="00184EF3">
        <w:rPr>
          <w:rFonts w:ascii="Times New Roman" w:hAnsi="Times New Roman" w:cs="Times New Roman"/>
          <w:b w:val="0"/>
          <w:szCs w:val="24"/>
        </w:rPr>
        <w:t xml:space="preserve"> the</w:t>
      </w:r>
      <w:r w:rsidR="00CB7B9E" w:rsidRPr="00184EF3">
        <w:rPr>
          <w:rFonts w:ascii="Times New Roman" w:hAnsi="Times New Roman" w:cs="Times New Roman"/>
          <w:b w:val="0"/>
          <w:szCs w:val="24"/>
        </w:rPr>
        <w:t xml:space="preserve"> measured</w:t>
      </w:r>
      <w:r w:rsidRPr="00184EF3">
        <w:rPr>
          <w:rFonts w:ascii="Times New Roman" w:hAnsi="Times New Roman" w:cs="Times New Roman"/>
          <w:b w:val="0"/>
          <w:szCs w:val="24"/>
        </w:rPr>
        <w:t xml:space="preserve"> resultant flow rate of the </w:t>
      </w:r>
      <w:r w:rsidR="0001294D" w:rsidRPr="00184EF3">
        <w:rPr>
          <w:rFonts w:ascii="Times New Roman" w:hAnsi="Times New Roman" w:cs="Times New Roman"/>
          <w:b w:val="0"/>
          <w:szCs w:val="24"/>
        </w:rPr>
        <w:t>fluid according</w:t>
      </w:r>
      <w:r w:rsidR="00DF4BAD" w:rsidRPr="00184EF3">
        <w:rPr>
          <w:rFonts w:ascii="Times New Roman" w:hAnsi="Times New Roman" w:cs="Times New Roman"/>
          <w:b w:val="0"/>
          <w:szCs w:val="24"/>
        </w:rPr>
        <w:t xml:space="preserve"> to the relationships dictated by the model </w:t>
      </w:r>
      <w:r w:rsidR="0001294D" w:rsidRPr="00184EF3">
        <w:rPr>
          <w:rFonts w:ascii="Times New Roman" w:hAnsi="Times New Roman" w:cs="Times New Roman"/>
          <w:b w:val="0"/>
          <w:szCs w:val="24"/>
        </w:rPr>
        <w:t>among the</w:t>
      </w:r>
      <w:r w:rsidRPr="00184EF3">
        <w:rPr>
          <w:rFonts w:ascii="Times New Roman" w:hAnsi="Times New Roman" w:cs="Times New Roman"/>
          <w:b w:val="0"/>
          <w:szCs w:val="24"/>
        </w:rPr>
        <w:t xml:space="preserve"> many independent and dependent variables </w:t>
      </w:r>
      <w:r w:rsidR="0001294D" w:rsidRPr="00184EF3">
        <w:rPr>
          <w:rFonts w:ascii="Times New Roman" w:hAnsi="Times New Roman" w:cs="Times New Roman"/>
          <w:b w:val="0"/>
          <w:szCs w:val="24"/>
        </w:rPr>
        <w:t>pertaining to</w:t>
      </w:r>
      <w:r w:rsidRPr="00184EF3">
        <w:rPr>
          <w:rFonts w:ascii="Times New Roman" w:hAnsi="Times New Roman" w:cs="Times New Roman"/>
          <w:b w:val="0"/>
          <w:szCs w:val="24"/>
        </w:rPr>
        <w:t xml:space="preserve"> the physical fluid flow </w:t>
      </w:r>
      <w:r w:rsidR="0001294D" w:rsidRPr="00184EF3">
        <w:rPr>
          <w:rFonts w:ascii="Times New Roman" w:hAnsi="Times New Roman" w:cs="Times New Roman"/>
          <w:b w:val="0"/>
          <w:szCs w:val="24"/>
        </w:rPr>
        <w:t>embodiment and</w:t>
      </w:r>
      <w:r w:rsidR="00DF4BAD" w:rsidRPr="00184EF3">
        <w:rPr>
          <w:rFonts w:ascii="Times New Roman" w:hAnsi="Times New Roman" w:cs="Times New Roman"/>
          <w:b w:val="0"/>
          <w:szCs w:val="24"/>
        </w:rPr>
        <w:t xml:space="preserve"> pertaining to</w:t>
      </w:r>
      <w:r w:rsidRPr="00184EF3">
        <w:rPr>
          <w:rFonts w:ascii="Times New Roman" w:hAnsi="Times New Roman" w:cs="Times New Roman"/>
          <w:b w:val="0"/>
          <w:szCs w:val="24"/>
        </w:rPr>
        <w:t xml:space="preserve"> the fluid </w:t>
      </w:r>
      <w:r w:rsidR="0001294D" w:rsidRPr="00184EF3">
        <w:rPr>
          <w:rFonts w:ascii="Times New Roman" w:hAnsi="Times New Roman" w:cs="Times New Roman"/>
          <w:b w:val="0"/>
          <w:szCs w:val="24"/>
        </w:rPr>
        <w:t>itself. The</w:t>
      </w:r>
      <w:r w:rsidR="00DF4BAD" w:rsidRPr="00184EF3">
        <w:rPr>
          <w:rFonts w:ascii="Times New Roman" w:hAnsi="Times New Roman" w:cs="Times New Roman"/>
          <w:b w:val="0"/>
          <w:szCs w:val="24"/>
        </w:rPr>
        <w:t xml:space="preserve"> second format is </w:t>
      </w:r>
      <w:r w:rsidRPr="00184EF3">
        <w:rPr>
          <w:rFonts w:ascii="Times New Roman" w:hAnsi="Times New Roman" w:cs="Times New Roman"/>
          <w:b w:val="0"/>
          <w:szCs w:val="24"/>
        </w:rPr>
        <w:t xml:space="preserve">a </w:t>
      </w:r>
      <w:r w:rsidRPr="00184EF3">
        <w:rPr>
          <w:rFonts w:ascii="Times New Roman" w:hAnsi="Times New Roman" w:cs="Times New Roman"/>
          <w:b w:val="0"/>
          <w:szCs w:val="24"/>
          <w:u w:val="single"/>
        </w:rPr>
        <w:t>dimensionless manifestation</w:t>
      </w:r>
      <w:r w:rsidR="001A0D5F" w:rsidRPr="00184EF3">
        <w:rPr>
          <w:rFonts w:ascii="Times New Roman" w:hAnsi="Times New Roman" w:cs="Times New Roman"/>
          <w:b w:val="0"/>
          <w:szCs w:val="24"/>
          <w:u w:val="single"/>
        </w:rPr>
        <w:t>,</w:t>
      </w:r>
      <w:r w:rsidRPr="00184EF3">
        <w:rPr>
          <w:rFonts w:ascii="Times New Roman" w:hAnsi="Times New Roman" w:cs="Times New Roman"/>
          <w:b w:val="0"/>
          <w:szCs w:val="24"/>
        </w:rPr>
        <w:t xml:space="preserve"> which we call Quinn’s Law</w:t>
      </w:r>
      <w:r w:rsidR="0001294D" w:rsidRPr="00184EF3">
        <w:rPr>
          <w:rFonts w:ascii="Times New Roman" w:hAnsi="Times New Roman" w:cs="Times New Roman"/>
          <w:b w:val="0"/>
          <w:szCs w:val="24"/>
        </w:rPr>
        <w:t>, where</w:t>
      </w:r>
      <w:r w:rsidR="00DF4BAD" w:rsidRPr="00184EF3">
        <w:rPr>
          <w:rFonts w:ascii="Times New Roman" w:hAnsi="Times New Roman" w:cs="Times New Roman"/>
          <w:b w:val="0"/>
          <w:szCs w:val="24"/>
        </w:rPr>
        <w:t xml:space="preserve"> </w:t>
      </w:r>
      <w:r w:rsidRPr="00184EF3">
        <w:rPr>
          <w:rFonts w:ascii="Times New Roman" w:hAnsi="Times New Roman" w:cs="Times New Roman"/>
          <w:b w:val="0"/>
          <w:szCs w:val="24"/>
        </w:rPr>
        <w:t>all the</w:t>
      </w:r>
      <w:r w:rsidR="005A2CB7" w:rsidRPr="00184EF3">
        <w:rPr>
          <w:rFonts w:ascii="Times New Roman" w:hAnsi="Times New Roman" w:cs="Times New Roman"/>
          <w:b w:val="0"/>
          <w:szCs w:val="24"/>
        </w:rPr>
        <w:t xml:space="preserve"> individual respective</w:t>
      </w:r>
      <w:r w:rsidRPr="00184EF3">
        <w:rPr>
          <w:rFonts w:ascii="Times New Roman" w:hAnsi="Times New Roman" w:cs="Times New Roman"/>
          <w:b w:val="0"/>
          <w:szCs w:val="24"/>
        </w:rPr>
        <w:t xml:space="preserve"> contributions</w:t>
      </w:r>
      <w:r w:rsidR="00DF4BAD" w:rsidRPr="00184EF3">
        <w:rPr>
          <w:rFonts w:ascii="Times New Roman" w:hAnsi="Times New Roman" w:cs="Times New Roman"/>
          <w:b w:val="0"/>
          <w:szCs w:val="24"/>
        </w:rPr>
        <w:t xml:space="preserve"> to the pressure drop/fluid flow </w:t>
      </w:r>
      <w:r w:rsidR="00232E16" w:rsidRPr="00184EF3">
        <w:rPr>
          <w:rFonts w:ascii="Times New Roman" w:hAnsi="Times New Roman" w:cs="Times New Roman"/>
          <w:b w:val="0"/>
          <w:szCs w:val="24"/>
        </w:rPr>
        <w:t>relationship</w:t>
      </w:r>
      <w:r w:rsidRPr="00184EF3">
        <w:rPr>
          <w:rFonts w:ascii="Times New Roman" w:hAnsi="Times New Roman" w:cs="Times New Roman"/>
          <w:b w:val="0"/>
          <w:szCs w:val="24"/>
        </w:rPr>
        <w:t xml:space="preserve"> have been </w:t>
      </w:r>
      <w:r w:rsidR="0001294D" w:rsidRPr="00184EF3">
        <w:rPr>
          <w:rFonts w:ascii="Times New Roman" w:hAnsi="Times New Roman" w:cs="Times New Roman"/>
          <w:b w:val="0"/>
          <w:szCs w:val="24"/>
        </w:rPr>
        <w:t>normalized between</w:t>
      </w:r>
      <w:r w:rsidRPr="00184EF3">
        <w:rPr>
          <w:rFonts w:ascii="Times New Roman" w:hAnsi="Times New Roman" w:cs="Times New Roman"/>
          <w:b w:val="0"/>
          <w:szCs w:val="24"/>
        </w:rPr>
        <w:t xml:space="preserve"> the</w:t>
      </w:r>
      <w:r w:rsidR="00DF4BAD" w:rsidRPr="00184EF3">
        <w:rPr>
          <w:rFonts w:ascii="Times New Roman" w:hAnsi="Times New Roman" w:cs="Times New Roman"/>
          <w:b w:val="0"/>
          <w:szCs w:val="24"/>
        </w:rPr>
        <w:t xml:space="preserve"> model’s</w:t>
      </w:r>
      <w:r w:rsidRPr="00184EF3">
        <w:rPr>
          <w:rFonts w:ascii="Times New Roman" w:hAnsi="Times New Roman" w:cs="Times New Roman"/>
          <w:b w:val="0"/>
          <w:szCs w:val="24"/>
        </w:rPr>
        <w:t xml:space="preserve"> two entities</w:t>
      </w:r>
      <w:r w:rsidR="001A0D5F" w:rsidRPr="00184EF3">
        <w:rPr>
          <w:rFonts w:ascii="Times New Roman" w:hAnsi="Times New Roman" w:cs="Times New Roman"/>
          <w:b w:val="0"/>
          <w:szCs w:val="24"/>
        </w:rPr>
        <w:t>,</w:t>
      </w:r>
      <w:r w:rsidRPr="00184EF3">
        <w:rPr>
          <w:rFonts w:ascii="Times New Roman" w:hAnsi="Times New Roman" w:cs="Times New Roman"/>
          <w:b w:val="0"/>
          <w:szCs w:val="24"/>
        </w:rPr>
        <w:t xml:space="preserve"> </w:t>
      </w:r>
      <w:r w:rsidR="00232E16" w:rsidRPr="00184EF3">
        <w:rPr>
          <w:rFonts w:ascii="Times New Roman" w:hAnsi="Times New Roman" w:cs="Times New Roman"/>
          <w:b w:val="0"/>
          <w:szCs w:val="24"/>
        </w:rPr>
        <w:t xml:space="preserve">which we </w:t>
      </w:r>
      <w:r w:rsidR="0001294D" w:rsidRPr="00184EF3">
        <w:rPr>
          <w:rFonts w:ascii="Times New Roman" w:hAnsi="Times New Roman" w:cs="Times New Roman"/>
          <w:b w:val="0"/>
          <w:szCs w:val="24"/>
        </w:rPr>
        <w:t>call the</w:t>
      </w:r>
      <w:r w:rsidRPr="00184EF3">
        <w:rPr>
          <w:rFonts w:ascii="Times New Roman" w:hAnsi="Times New Roman" w:cs="Times New Roman"/>
          <w:b w:val="0"/>
          <w:szCs w:val="24"/>
        </w:rPr>
        <w:t xml:space="preserve"> </w:t>
      </w:r>
      <w:r w:rsidR="00232E16" w:rsidRPr="00184EF3">
        <w:rPr>
          <w:rFonts w:ascii="Times New Roman" w:hAnsi="Times New Roman" w:cs="Times New Roman"/>
          <w:b w:val="0"/>
          <w:szCs w:val="24"/>
        </w:rPr>
        <w:t>“</w:t>
      </w:r>
      <w:r w:rsidRPr="00184EF3">
        <w:rPr>
          <w:rFonts w:ascii="Times New Roman" w:hAnsi="Times New Roman" w:cs="Times New Roman"/>
          <w:b w:val="0"/>
          <w:szCs w:val="24"/>
        </w:rPr>
        <w:t xml:space="preserve">Quinn </w:t>
      </w:r>
      <w:r w:rsidR="00621ABD" w:rsidRPr="00184EF3">
        <w:rPr>
          <w:rFonts w:ascii="Times New Roman" w:hAnsi="Times New Roman" w:cs="Times New Roman"/>
          <w:b w:val="0"/>
          <w:szCs w:val="24"/>
        </w:rPr>
        <w:t>reduced pressure</w:t>
      </w:r>
      <w:r w:rsidR="00232E16" w:rsidRPr="00184EF3">
        <w:rPr>
          <w:rFonts w:ascii="Times New Roman" w:hAnsi="Times New Roman" w:cs="Times New Roman"/>
          <w:b w:val="0"/>
          <w:szCs w:val="24"/>
        </w:rPr>
        <w:t>”</w:t>
      </w:r>
      <w:r w:rsidRPr="00184EF3">
        <w:rPr>
          <w:rFonts w:ascii="Times New Roman" w:hAnsi="Times New Roman" w:cs="Times New Roman"/>
          <w:b w:val="0"/>
          <w:szCs w:val="24"/>
        </w:rPr>
        <w:t xml:space="preserve"> </w:t>
      </w:r>
      <w:r w:rsidR="0001294D" w:rsidRPr="00184EF3">
        <w:rPr>
          <w:rFonts w:ascii="Times New Roman" w:hAnsi="Times New Roman" w:cs="Times New Roman"/>
          <w:b w:val="0"/>
          <w:szCs w:val="24"/>
        </w:rPr>
        <w:t>and the</w:t>
      </w:r>
      <w:r w:rsidRPr="00184EF3">
        <w:rPr>
          <w:rFonts w:ascii="Times New Roman" w:hAnsi="Times New Roman" w:cs="Times New Roman"/>
          <w:b w:val="0"/>
          <w:szCs w:val="24"/>
        </w:rPr>
        <w:t xml:space="preserve"> </w:t>
      </w:r>
      <w:r w:rsidR="00232E16" w:rsidRPr="00184EF3">
        <w:rPr>
          <w:rFonts w:ascii="Times New Roman" w:hAnsi="Times New Roman" w:cs="Times New Roman"/>
          <w:b w:val="0"/>
          <w:szCs w:val="24"/>
        </w:rPr>
        <w:t>“</w:t>
      </w:r>
      <w:r w:rsidRPr="00184EF3">
        <w:rPr>
          <w:rFonts w:ascii="Times New Roman" w:hAnsi="Times New Roman" w:cs="Times New Roman"/>
          <w:b w:val="0"/>
          <w:szCs w:val="24"/>
        </w:rPr>
        <w:t>fluid current</w:t>
      </w:r>
      <w:r w:rsidR="00232E16" w:rsidRPr="00184EF3">
        <w:rPr>
          <w:rFonts w:ascii="Times New Roman" w:hAnsi="Times New Roman" w:cs="Times New Roman"/>
          <w:b w:val="0"/>
          <w:szCs w:val="24"/>
        </w:rPr>
        <w:t>” and</w:t>
      </w:r>
      <w:r w:rsidR="0068474E" w:rsidRPr="00184EF3">
        <w:rPr>
          <w:rFonts w:ascii="Times New Roman" w:hAnsi="Times New Roman" w:cs="Times New Roman"/>
          <w:b w:val="0"/>
          <w:szCs w:val="24"/>
        </w:rPr>
        <w:t xml:space="preserve"> which we</w:t>
      </w:r>
      <w:r w:rsidR="00232E16" w:rsidRPr="00184EF3">
        <w:rPr>
          <w:rFonts w:ascii="Times New Roman" w:hAnsi="Times New Roman" w:cs="Times New Roman"/>
          <w:b w:val="0"/>
          <w:szCs w:val="24"/>
        </w:rPr>
        <w:t xml:space="preserve"> denote with the symbols </w:t>
      </w:r>
      <w:r w:rsidR="00A84D1A" w:rsidRPr="00184EF3">
        <w:rPr>
          <w:rFonts w:ascii="Times New Roman" w:hAnsi="Times New Roman" w:cs="Times New Roman"/>
          <w:b w:val="0"/>
          <w:szCs w:val="24"/>
        </w:rPr>
        <w:t>P</w:t>
      </w:r>
      <w:r w:rsidR="00232E16" w:rsidRPr="00184EF3">
        <w:rPr>
          <w:rFonts w:ascii="Times New Roman" w:hAnsi="Times New Roman" w:cs="Times New Roman"/>
          <w:b w:val="0"/>
          <w:szCs w:val="24"/>
          <w:vertAlign w:val="subscript"/>
        </w:rPr>
        <w:t xml:space="preserve">Q </w:t>
      </w:r>
      <w:r w:rsidR="00232E16" w:rsidRPr="00184EF3">
        <w:rPr>
          <w:rFonts w:ascii="Times New Roman" w:hAnsi="Times New Roman" w:cs="Times New Roman"/>
          <w:b w:val="0"/>
          <w:szCs w:val="24"/>
        </w:rPr>
        <w:t>and Q</w:t>
      </w:r>
      <w:r w:rsidR="00232E16" w:rsidRPr="00184EF3">
        <w:rPr>
          <w:rFonts w:ascii="Times New Roman" w:hAnsi="Times New Roman" w:cs="Times New Roman"/>
          <w:b w:val="0"/>
          <w:szCs w:val="24"/>
          <w:vertAlign w:val="subscript"/>
        </w:rPr>
        <w:t>c</w:t>
      </w:r>
      <w:r w:rsidR="00232E16" w:rsidRPr="00184EF3">
        <w:rPr>
          <w:rFonts w:ascii="Times New Roman" w:hAnsi="Times New Roman" w:cs="Times New Roman"/>
          <w:b w:val="0"/>
          <w:szCs w:val="24"/>
        </w:rPr>
        <w:t>, respectively</w:t>
      </w:r>
      <w:r w:rsidR="00621ABD" w:rsidRPr="00184EF3">
        <w:rPr>
          <w:rFonts w:ascii="Times New Roman" w:hAnsi="Times New Roman" w:cs="Times New Roman"/>
          <w:b w:val="0"/>
          <w:szCs w:val="24"/>
        </w:rPr>
        <w:t>.</w:t>
      </w:r>
      <w:r w:rsidR="00232E16" w:rsidRPr="00184EF3">
        <w:rPr>
          <w:rFonts w:ascii="Times New Roman" w:hAnsi="Times New Roman" w:cs="Times New Roman"/>
          <w:b w:val="0"/>
          <w:szCs w:val="24"/>
        </w:rPr>
        <w:t xml:space="preserve"> </w:t>
      </w:r>
    </w:p>
    <w:p w14:paraId="34C9B62D" w14:textId="77777777" w:rsidR="009A6C6E" w:rsidRPr="00184EF3" w:rsidRDefault="00844746" w:rsidP="00E476DF">
      <w:pPr>
        <w:pStyle w:val="5FigureCaption"/>
        <w:jc w:val="left"/>
        <w:rPr>
          <w:rFonts w:ascii="Times New Roman" w:hAnsi="Times New Roman" w:cs="Times New Roman"/>
          <w:b w:val="0"/>
          <w:szCs w:val="24"/>
        </w:rPr>
      </w:pPr>
      <w:r w:rsidRPr="00184EF3">
        <w:rPr>
          <w:rFonts w:ascii="Times New Roman" w:hAnsi="Times New Roman" w:cs="Times New Roman"/>
          <w:b w:val="0"/>
          <w:szCs w:val="24"/>
        </w:rPr>
        <w:t>A</w:t>
      </w:r>
      <w:r w:rsidR="006926EB" w:rsidRPr="00184EF3">
        <w:rPr>
          <w:rFonts w:ascii="Times New Roman" w:hAnsi="Times New Roman" w:cs="Times New Roman"/>
          <w:b w:val="0"/>
          <w:szCs w:val="24"/>
        </w:rPr>
        <w:t xml:space="preserve">ny given combination of the underlying variables </w:t>
      </w:r>
      <w:r w:rsidR="00232E16" w:rsidRPr="00184EF3">
        <w:rPr>
          <w:rFonts w:ascii="Times New Roman" w:hAnsi="Times New Roman" w:cs="Times New Roman"/>
          <w:b w:val="0"/>
          <w:szCs w:val="24"/>
        </w:rPr>
        <w:t>prescribed by the QFFM</w:t>
      </w:r>
      <w:r w:rsidR="006926EB" w:rsidRPr="00184EF3">
        <w:rPr>
          <w:rFonts w:ascii="Times New Roman" w:hAnsi="Times New Roman" w:cs="Times New Roman"/>
          <w:b w:val="0"/>
          <w:szCs w:val="24"/>
        </w:rPr>
        <w:t xml:space="preserve"> will have a unique pressure drop at any given flow rate.</w:t>
      </w:r>
      <w:r w:rsidR="00E13989" w:rsidRPr="00184EF3">
        <w:rPr>
          <w:rFonts w:ascii="Times New Roman" w:hAnsi="Times New Roman" w:cs="Times New Roman"/>
          <w:b w:val="0"/>
          <w:szCs w:val="24"/>
        </w:rPr>
        <w:t xml:space="preserve"> </w:t>
      </w:r>
      <w:r w:rsidRPr="00184EF3">
        <w:rPr>
          <w:rFonts w:ascii="Times New Roman" w:hAnsi="Times New Roman" w:cs="Times New Roman"/>
          <w:b w:val="0"/>
          <w:szCs w:val="24"/>
        </w:rPr>
        <w:t>Accordingly</w:t>
      </w:r>
      <w:r w:rsidR="0001294D" w:rsidRPr="00184EF3">
        <w:rPr>
          <w:rFonts w:ascii="Times New Roman" w:hAnsi="Times New Roman" w:cs="Times New Roman"/>
          <w:b w:val="0"/>
          <w:szCs w:val="24"/>
        </w:rPr>
        <w:t>, the</w:t>
      </w:r>
      <w:r w:rsidR="00E13989" w:rsidRPr="00184EF3">
        <w:rPr>
          <w:rFonts w:ascii="Times New Roman" w:hAnsi="Times New Roman" w:cs="Times New Roman"/>
          <w:b w:val="0"/>
          <w:szCs w:val="24"/>
        </w:rPr>
        <w:t xml:space="preserve"> </w:t>
      </w:r>
      <w:r w:rsidR="0001294D" w:rsidRPr="00184EF3">
        <w:rPr>
          <w:rFonts w:ascii="Times New Roman" w:hAnsi="Times New Roman" w:cs="Times New Roman"/>
          <w:b w:val="0"/>
          <w:szCs w:val="24"/>
        </w:rPr>
        <w:t>QFFM is</w:t>
      </w:r>
      <w:r w:rsidR="000E1D17" w:rsidRPr="00184EF3">
        <w:rPr>
          <w:rFonts w:ascii="Times New Roman" w:hAnsi="Times New Roman" w:cs="Times New Roman"/>
          <w:b w:val="0"/>
          <w:szCs w:val="24"/>
        </w:rPr>
        <w:t xml:space="preserve"> capable of distinguishing between </w:t>
      </w:r>
      <w:r w:rsidR="000E1D17" w:rsidRPr="00184EF3">
        <w:rPr>
          <w:rFonts w:ascii="Times New Roman" w:hAnsi="Times New Roman" w:cs="Times New Roman"/>
          <w:b w:val="0"/>
          <w:i/>
          <w:szCs w:val="24"/>
        </w:rPr>
        <w:t>valid</w:t>
      </w:r>
      <w:r w:rsidR="000E1D17" w:rsidRPr="00184EF3">
        <w:rPr>
          <w:rFonts w:ascii="Times New Roman" w:hAnsi="Times New Roman" w:cs="Times New Roman"/>
          <w:b w:val="0"/>
          <w:szCs w:val="24"/>
        </w:rPr>
        <w:t xml:space="preserve"> and </w:t>
      </w:r>
      <w:r w:rsidR="000E1D17" w:rsidRPr="00184EF3">
        <w:rPr>
          <w:rFonts w:ascii="Times New Roman" w:hAnsi="Times New Roman" w:cs="Times New Roman"/>
          <w:b w:val="0"/>
          <w:i/>
          <w:szCs w:val="24"/>
        </w:rPr>
        <w:t xml:space="preserve">invalid </w:t>
      </w:r>
      <w:r w:rsidR="000E1D17" w:rsidRPr="00184EF3">
        <w:rPr>
          <w:rFonts w:ascii="Times New Roman" w:hAnsi="Times New Roman" w:cs="Times New Roman"/>
          <w:b w:val="0"/>
          <w:szCs w:val="24"/>
        </w:rPr>
        <w:t xml:space="preserve">data.  </w:t>
      </w:r>
      <w:r w:rsidR="0001294D" w:rsidRPr="00184EF3">
        <w:rPr>
          <w:rFonts w:ascii="Times New Roman" w:hAnsi="Times New Roman" w:cs="Times New Roman"/>
          <w:b w:val="0"/>
          <w:szCs w:val="24"/>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184EF3">
        <w:rPr>
          <w:rFonts w:ascii="Times New Roman" w:hAnsi="Times New Roman" w:cs="Times New Roman"/>
          <w:b w:val="0"/>
          <w:szCs w:val="24"/>
        </w:rPr>
        <w:t>W</w:t>
      </w:r>
      <w:r w:rsidR="006926EB" w:rsidRPr="00184EF3">
        <w:rPr>
          <w:rFonts w:ascii="Times New Roman" w:hAnsi="Times New Roman" w:cs="Times New Roman"/>
          <w:b w:val="0"/>
          <w:szCs w:val="24"/>
        </w:rPr>
        <w:t xml:space="preserve">e consider </w:t>
      </w:r>
      <w:r w:rsidR="00E13989" w:rsidRPr="00184EF3">
        <w:rPr>
          <w:rFonts w:ascii="Times New Roman" w:hAnsi="Times New Roman" w:cs="Times New Roman"/>
          <w:b w:val="0"/>
          <w:szCs w:val="24"/>
        </w:rPr>
        <w:t xml:space="preserve">any mismatch </w:t>
      </w:r>
      <w:r w:rsidR="006926EB" w:rsidRPr="00184EF3">
        <w:rPr>
          <w:rFonts w:ascii="Times New Roman" w:hAnsi="Times New Roman" w:cs="Times New Roman"/>
          <w:b w:val="0"/>
          <w:szCs w:val="24"/>
        </w:rPr>
        <w:t xml:space="preserve">to be an </w:t>
      </w:r>
      <w:r w:rsidR="006926EB" w:rsidRPr="00184EF3">
        <w:rPr>
          <w:rFonts w:ascii="Times New Roman" w:hAnsi="Times New Roman" w:cs="Times New Roman"/>
          <w:b w:val="0"/>
          <w:i/>
          <w:szCs w:val="24"/>
        </w:rPr>
        <w:t xml:space="preserve">invalid </w:t>
      </w:r>
      <w:r w:rsidR="006926EB" w:rsidRPr="00184EF3">
        <w:rPr>
          <w:rFonts w:ascii="Times New Roman" w:hAnsi="Times New Roman" w:cs="Times New Roman"/>
          <w:b w:val="0"/>
          <w:szCs w:val="24"/>
        </w:rPr>
        <w:t>empirical result.</w:t>
      </w:r>
      <w:r w:rsidR="00771D98" w:rsidRPr="00184EF3">
        <w:rPr>
          <w:rFonts w:ascii="Times New Roman" w:hAnsi="Times New Roman" w:cs="Times New Roman"/>
          <w:b w:val="0"/>
          <w:szCs w:val="24"/>
        </w:rPr>
        <w:t xml:space="preserve"> It follows that for every </w:t>
      </w:r>
      <w:r w:rsidR="00771D98" w:rsidRPr="00184EF3">
        <w:rPr>
          <w:rFonts w:ascii="Times New Roman" w:hAnsi="Times New Roman" w:cs="Times New Roman"/>
          <w:b w:val="0"/>
          <w:i/>
          <w:szCs w:val="24"/>
        </w:rPr>
        <w:t>invalid</w:t>
      </w:r>
      <w:r w:rsidR="00771D98" w:rsidRPr="00184EF3">
        <w:rPr>
          <w:rFonts w:ascii="Times New Roman" w:hAnsi="Times New Roman" w:cs="Times New Roman"/>
          <w:b w:val="0"/>
          <w:szCs w:val="24"/>
        </w:rPr>
        <w:t xml:space="preserve"> empirical result there is but one </w:t>
      </w:r>
      <w:r w:rsidR="00771D98" w:rsidRPr="00184EF3">
        <w:rPr>
          <w:rFonts w:ascii="Times New Roman" w:hAnsi="Times New Roman" w:cs="Times New Roman"/>
          <w:b w:val="0"/>
          <w:i/>
          <w:szCs w:val="24"/>
        </w:rPr>
        <w:t xml:space="preserve">valid </w:t>
      </w:r>
      <w:r w:rsidR="00771D98" w:rsidRPr="00184EF3">
        <w:rPr>
          <w:rFonts w:ascii="Times New Roman" w:hAnsi="Times New Roman" w:cs="Times New Roman"/>
          <w:b w:val="0"/>
          <w:szCs w:val="24"/>
        </w:rPr>
        <w:t>corrected result.</w:t>
      </w:r>
    </w:p>
    <w:p w14:paraId="395EAA6C" w14:textId="02E86886" w:rsidR="00C836E4" w:rsidRPr="00184EF3" w:rsidRDefault="001A0D5F" w:rsidP="00E476DF">
      <w:pPr>
        <w:pStyle w:val="5FigureCaption"/>
        <w:jc w:val="left"/>
        <w:rPr>
          <w:rFonts w:ascii="Times New Roman" w:hAnsi="Times New Roman" w:cs="Times New Roman"/>
          <w:b w:val="0"/>
          <w:szCs w:val="24"/>
        </w:rPr>
      </w:pPr>
      <w:r w:rsidRPr="00184EF3">
        <w:rPr>
          <w:rFonts w:ascii="Times New Roman" w:hAnsi="Times New Roman" w:cs="Times New Roman"/>
          <w:b w:val="0"/>
          <w:szCs w:val="24"/>
        </w:rPr>
        <w:t>B</w:t>
      </w:r>
      <w:r w:rsidR="009A6C6E" w:rsidRPr="00184EF3">
        <w:rPr>
          <w:rFonts w:ascii="Times New Roman" w:hAnsi="Times New Roman" w:cs="Times New Roman"/>
          <w:b w:val="0"/>
          <w:szCs w:val="24"/>
        </w:rPr>
        <w:t xml:space="preserve">efore one can apply Quinn’s Law to any given empirical </w:t>
      </w:r>
      <w:r w:rsidR="008E5AAE" w:rsidRPr="00184EF3">
        <w:rPr>
          <w:rFonts w:ascii="Times New Roman" w:hAnsi="Times New Roman" w:cs="Times New Roman"/>
          <w:b w:val="0"/>
          <w:szCs w:val="24"/>
        </w:rPr>
        <w:t>result that</w:t>
      </w:r>
      <w:r w:rsidR="009A6C6E" w:rsidRPr="00184EF3">
        <w:rPr>
          <w:rFonts w:ascii="Times New Roman" w:hAnsi="Times New Roman" w:cs="Times New Roman"/>
          <w:b w:val="0"/>
          <w:szCs w:val="24"/>
        </w:rPr>
        <w:t xml:space="preserve"> result has to be validated using the </w:t>
      </w:r>
      <w:r w:rsidR="009A6C6E" w:rsidRPr="00184EF3">
        <w:rPr>
          <w:rFonts w:ascii="Times New Roman" w:hAnsi="Times New Roman" w:cs="Times New Roman"/>
          <w:b w:val="0"/>
          <w:szCs w:val="24"/>
          <w:u w:val="single"/>
        </w:rPr>
        <w:t xml:space="preserve">dimensional manifestation </w:t>
      </w:r>
      <w:r w:rsidR="009A6C6E" w:rsidRPr="00184EF3">
        <w:rPr>
          <w:rFonts w:ascii="Times New Roman" w:hAnsi="Times New Roman" w:cs="Times New Roman"/>
          <w:b w:val="0"/>
          <w:szCs w:val="24"/>
        </w:rPr>
        <w:t xml:space="preserve">of the QFFM. This, in turn, is because one cannot normalize properly for all the </w:t>
      </w:r>
      <w:r w:rsidR="003865F8" w:rsidRPr="00184EF3">
        <w:rPr>
          <w:rFonts w:ascii="Times New Roman" w:hAnsi="Times New Roman" w:cs="Times New Roman"/>
          <w:b w:val="0"/>
          <w:szCs w:val="24"/>
          <w:u w:val="single"/>
        </w:rPr>
        <w:t>individual respective</w:t>
      </w:r>
      <w:r w:rsidR="00C02C73" w:rsidRPr="00184EF3">
        <w:rPr>
          <w:rFonts w:ascii="Times New Roman" w:hAnsi="Times New Roman" w:cs="Times New Roman"/>
          <w:b w:val="0"/>
          <w:szCs w:val="24"/>
          <w:u w:val="single"/>
        </w:rPr>
        <w:t xml:space="preserve"> </w:t>
      </w:r>
      <w:r w:rsidR="009A6C6E" w:rsidRPr="00184EF3">
        <w:rPr>
          <w:rFonts w:ascii="Times New Roman" w:hAnsi="Times New Roman" w:cs="Times New Roman"/>
          <w:b w:val="0"/>
          <w:szCs w:val="24"/>
          <w:u w:val="single"/>
        </w:rPr>
        <w:t>contributions</w:t>
      </w:r>
      <w:r w:rsidR="009A6C6E" w:rsidRPr="00184EF3">
        <w:rPr>
          <w:rFonts w:ascii="Times New Roman" w:hAnsi="Times New Roman" w:cs="Times New Roman"/>
          <w:b w:val="0"/>
          <w:szCs w:val="24"/>
        </w:rPr>
        <w:t xml:space="preserve"> unless all the variables are correctly identified and their values</w:t>
      </w:r>
      <w:r w:rsidR="009A6C6E" w:rsidRPr="00184EF3">
        <w:rPr>
          <w:rFonts w:ascii="Times New Roman" w:hAnsi="Times New Roman" w:cs="Times New Roman"/>
          <w:b w:val="0"/>
          <w:szCs w:val="24"/>
          <w:u w:val="single"/>
        </w:rPr>
        <w:t xml:space="preserve"> are commensurate with</w:t>
      </w:r>
      <w:r w:rsidR="009A6C6E" w:rsidRPr="00184EF3">
        <w:rPr>
          <w:rFonts w:ascii="Times New Roman" w:hAnsi="Times New Roman" w:cs="Times New Roman"/>
          <w:b w:val="0"/>
          <w:szCs w:val="24"/>
        </w:rPr>
        <w:t xml:space="preserve"> the measured pressure drops and fluid flow rates.</w:t>
      </w:r>
      <w:r w:rsidR="00771D98" w:rsidRPr="00184EF3">
        <w:rPr>
          <w:rFonts w:ascii="Times New Roman" w:hAnsi="Times New Roman" w:cs="Times New Roman"/>
          <w:b w:val="0"/>
          <w:szCs w:val="24"/>
        </w:rPr>
        <w:t xml:space="preserve"> </w:t>
      </w:r>
      <w:r w:rsidR="009A6C6E" w:rsidRPr="00184EF3">
        <w:rPr>
          <w:rFonts w:ascii="Times New Roman" w:hAnsi="Times New Roman" w:cs="Times New Roman"/>
          <w:b w:val="0"/>
          <w:szCs w:val="24"/>
        </w:rPr>
        <w:t xml:space="preserve"> </w:t>
      </w:r>
      <w:r w:rsidR="00771D98" w:rsidRPr="00184EF3">
        <w:rPr>
          <w:rFonts w:ascii="Times New Roman" w:hAnsi="Times New Roman" w:cs="Times New Roman"/>
          <w:b w:val="0"/>
          <w:szCs w:val="24"/>
        </w:rPr>
        <w:t>In general, we can state that since most of the underlying variables pertaining to a fluid flow embodiment are relatively easy to measure</w:t>
      </w:r>
      <w:r w:rsidR="007E29FD" w:rsidRPr="00184EF3">
        <w:rPr>
          <w:rFonts w:ascii="Times New Roman" w:hAnsi="Times New Roman" w:cs="Times New Roman"/>
          <w:b w:val="0"/>
          <w:szCs w:val="24"/>
        </w:rPr>
        <w:t>, the correction usually pertains to the more difficult</w:t>
      </w:r>
      <w:r w:rsidR="009A6C6E" w:rsidRPr="00184EF3">
        <w:rPr>
          <w:rFonts w:ascii="Times New Roman" w:hAnsi="Times New Roman" w:cs="Times New Roman"/>
          <w:b w:val="0"/>
          <w:szCs w:val="24"/>
        </w:rPr>
        <w:t>-</w:t>
      </w:r>
      <w:r w:rsidR="007E29FD" w:rsidRPr="00184EF3">
        <w:rPr>
          <w:rFonts w:ascii="Times New Roman" w:hAnsi="Times New Roman" w:cs="Times New Roman"/>
          <w:b w:val="0"/>
          <w:szCs w:val="24"/>
        </w:rPr>
        <w:t>to</w:t>
      </w:r>
      <w:r w:rsidR="009A6C6E" w:rsidRPr="00184EF3">
        <w:rPr>
          <w:rFonts w:ascii="Times New Roman" w:hAnsi="Times New Roman" w:cs="Times New Roman"/>
          <w:b w:val="0"/>
          <w:szCs w:val="24"/>
        </w:rPr>
        <w:t>-</w:t>
      </w:r>
      <w:r w:rsidR="007E29FD" w:rsidRPr="00184EF3">
        <w:rPr>
          <w:rFonts w:ascii="Times New Roman" w:hAnsi="Times New Roman" w:cs="Times New Roman"/>
          <w:b w:val="0"/>
          <w:szCs w:val="24"/>
        </w:rPr>
        <w:t>measure variables</w:t>
      </w:r>
      <w:r w:rsidR="000E1D17" w:rsidRPr="00184EF3">
        <w:rPr>
          <w:rFonts w:ascii="Times New Roman" w:hAnsi="Times New Roman" w:cs="Times New Roman"/>
          <w:b w:val="0"/>
          <w:szCs w:val="24"/>
        </w:rPr>
        <w:t xml:space="preserve">. In the case of a packed conduit, the problematical measurements </w:t>
      </w:r>
      <w:r w:rsidR="0001294D" w:rsidRPr="00184EF3">
        <w:rPr>
          <w:rFonts w:ascii="Times New Roman" w:hAnsi="Times New Roman" w:cs="Times New Roman"/>
          <w:b w:val="0"/>
          <w:szCs w:val="24"/>
        </w:rPr>
        <w:t xml:space="preserve">include </w:t>
      </w:r>
      <w:r w:rsidR="0001294D" w:rsidRPr="00184EF3">
        <w:rPr>
          <w:rFonts w:ascii="Times New Roman" w:hAnsi="Times New Roman" w:cs="Times New Roman"/>
          <w:b w:val="0"/>
          <w:szCs w:val="24"/>
          <w:u w:val="single"/>
        </w:rPr>
        <w:t>particle</w:t>
      </w:r>
      <w:r w:rsidR="007E29FD" w:rsidRPr="00184EF3">
        <w:rPr>
          <w:rFonts w:ascii="Times New Roman" w:hAnsi="Times New Roman" w:cs="Times New Roman"/>
          <w:b w:val="0"/>
          <w:szCs w:val="24"/>
          <w:u w:val="single"/>
        </w:rPr>
        <w:t xml:space="preserve"> sphericity</w:t>
      </w:r>
      <w:r w:rsidR="007E29FD" w:rsidRPr="00184EF3">
        <w:rPr>
          <w:rFonts w:ascii="Times New Roman" w:hAnsi="Times New Roman" w:cs="Times New Roman"/>
          <w:b w:val="0"/>
          <w:szCs w:val="24"/>
        </w:rPr>
        <w:t xml:space="preserve">, </w:t>
      </w:r>
      <w:r w:rsidR="007E29FD" w:rsidRPr="00184EF3">
        <w:rPr>
          <w:rFonts w:ascii="Times New Roman" w:hAnsi="Times New Roman" w:cs="Times New Roman"/>
          <w:b w:val="0"/>
          <w:szCs w:val="24"/>
          <w:u w:val="single"/>
        </w:rPr>
        <w:t>average particle diameter</w:t>
      </w:r>
      <w:r w:rsidR="007E29FD" w:rsidRPr="00184EF3">
        <w:rPr>
          <w:rFonts w:ascii="Times New Roman" w:hAnsi="Times New Roman" w:cs="Times New Roman"/>
          <w:b w:val="0"/>
          <w:szCs w:val="24"/>
        </w:rPr>
        <w:t xml:space="preserve"> and </w:t>
      </w:r>
      <w:r w:rsidR="007E29FD" w:rsidRPr="00184EF3">
        <w:rPr>
          <w:rFonts w:ascii="Times New Roman" w:hAnsi="Times New Roman" w:cs="Times New Roman"/>
          <w:b w:val="0"/>
          <w:szCs w:val="24"/>
          <w:u w:val="single"/>
        </w:rPr>
        <w:t>conduit external porosity</w:t>
      </w:r>
      <w:r w:rsidR="007E29FD" w:rsidRPr="00184EF3">
        <w:rPr>
          <w:rFonts w:ascii="Times New Roman" w:hAnsi="Times New Roman" w:cs="Times New Roman"/>
          <w:b w:val="0"/>
          <w:szCs w:val="24"/>
        </w:rPr>
        <w:t xml:space="preserve">, </w:t>
      </w:r>
      <w:r w:rsidR="000E1D17" w:rsidRPr="00184EF3">
        <w:rPr>
          <w:rFonts w:ascii="Times New Roman" w:hAnsi="Times New Roman" w:cs="Times New Roman"/>
          <w:b w:val="0"/>
          <w:szCs w:val="24"/>
        </w:rPr>
        <w:t>In the case of an empty conduit</w:t>
      </w:r>
      <w:r w:rsidR="009A6C6E" w:rsidRPr="00184EF3">
        <w:rPr>
          <w:rFonts w:ascii="Times New Roman" w:hAnsi="Times New Roman" w:cs="Times New Roman"/>
          <w:b w:val="0"/>
          <w:szCs w:val="24"/>
        </w:rPr>
        <w:t xml:space="preserve">, the weak link in terms of measurability is the </w:t>
      </w:r>
      <w:r w:rsidR="0001294D" w:rsidRPr="00184EF3">
        <w:rPr>
          <w:rFonts w:ascii="Times New Roman" w:hAnsi="Times New Roman" w:cs="Times New Roman"/>
          <w:b w:val="0"/>
          <w:szCs w:val="24"/>
        </w:rPr>
        <w:t>conduit’s inner</w:t>
      </w:r>
      <w:r w:rsidR="007E29FD" w:rsidRPr="00184EF3">
        <w:rPr>
          <w:rFonts w:ascii="Times New Roman" w:hAnsi="Times New Roman" w:cs="Times New Roman"/>
          <w:b w:val="0"/>
          <w:szCs w:val="24"/>
          <w:u w:val="single"/>
        </w:rPr>
        <w:t xml:space="preserve"> wall roughness</w:t>
      </w:r>
      <w:r w:rsidR="007E29FD" w:rsidRPr="00184EF3">
        <w:rPr>
          <w:rFonts w:ascii="Times New Roman" w:hAnsi="Times New Roman" w:cs="Times New Roman"/>
          <w:b w:val="0"/>
          <w:szCs w:val="24"/>
        </w:rPr>
        <w:t>.</w:t>
      </w:r>
      <w:r w:rsidR="009D1D18" w:rsidRPr="00184EF3">
        <w:rPr>
          <w:rFonts w:ascii="Times New Roman" w:hAnsi="Times New Roman" w:cs="Times New Roman"/>
          <w:b w:val="0"/>
          <w:szCs w:val="24"/>
        </w:rPr>
        <w:t xml:space="preserve"> </w:t>
      </w:r>
    </w:p>
    <w:p w14:paraId="7FBCD569" w14:textId="0393D89C" w:rsidR="006B2099" w:rsidRPr="00184EF3" w:rsidRDefault="00C14B1B" w:rsidP="001C2B61">
      <w:pPr>
        <w:pStyle w:val="5FigureCaption"/>
        <w:jc w:val="left"/>
        <w:rPr>
          <w:rFonts w:ascii="Times New Roman" w:hAnsi="Times New Roman" w:cs="Times New Roman"/>
          <w:b w:val="0"/>
          <w:szCs w:val="24"/>
        </w:rPr>
      </w:pPr>
      <w:r w:rsidRPr="00184EF3">
        <w:rPr>
          <w:rFonts w:ascii="Times New Roman" w:hAnsi="Times New Roman" w:cs="Times New Roman"/>
          <w:b w:val="0"/>
          <w:szCs w:val="24"/>
        </w:rPr>
        <w:t>QFFM is a unique and powerful new tool in the arsenal of the fluid flow practitioner.</w:t>
      </w:r>
      <w:r w:rsidR="00502D29" w:rsidRPr="00184EF3">
        <w:rPr>
          <w:rFonts w:ascii="Times New Roman" w:hAnsi="Times New Roman" w:cs="Times New Roman"/>
          <w:b w:val="0"/>
          <w:szCs w:val="24"/>
        </w:rPr>
        <w:t xml:space="preserve"> In particular, when experiments are conducted in the transitional and/or turbulent regimes, the </w:t>
      </w:r>
      <w:r w:rsidR="00001466" w:rsidRPr="00184EF3">
        <w:rPr>
          <w:rFonts w:ascii="Times New Roman" w:hAnsi="Times New Roman" w:cs="Times New Roman"/>
          <w:b w:val="0"/>
          <w:szCs w:val="24"/>
        </w:rPr>
        <w:t xml:space="preserve">conventional </w:t>
      </w:r>
      <w:r w:rsidR="00502D29" w:rsidRPr="00184EF3">
        <w:rPr>
          <w:rFonts w:ascii="Times New Roman" w:hAnsi="Times New Roman" w:cs="Times New Roman"/>
          <w:b w:val="0"/>
          <w:szCs w:val="24"/>
        </w:rPr>
        <w:t xml:space="preserve">methodology does not provide any reliable </w:t>
      </w:r>
      <w:r w:rsidR="00CD55FA" w:rsidRPr="00184EF3">
        <w:rPr>
          <w:rFonts w:ascii="Times New Roman" w:hAnsi="Times New Roman" w:cs="Times New Roman"/>
          <w:b w:val="0"/>
          <w:szCs w:val="24"/>
        </w:rPr>
        <w:t xml:space="preserve">way to verify the accuracy of the results </w:t>
      </w:r>
      <w:r w:rsidR="00502D29" w:rsidRPr="00184EF3">
        <w:rPr>
          <w:rFonts w:ascii="Times New Roman" w:hAnsi="Times New Roman" w:cs="Times New Roman"/>
          <w:b w:val="0"/>
          <w:szCs w:val="24"/>
        </w:rPr>
        <w:t>across a broad</w:t>
      </w:r>
      <w:r w:rsidR="002A4969" w:rsidRPr="00184EF3">
        <w:rPr>
          <w:rFonts w:ascii="Times New Roman" w:hAnsi="Times New Roman" w:cs="Times New Roman"/>
          <w:b w:val="0"/>
          <w:szCs w:val="24"/>
        </w:rPr>
        <w:t xml:space="preserve"> spectrum of Reynolds numbers. </w:t>
      </w:r>
      <w:r w:rsidR="00ED5268" w:rsidRPr="00184EF3">
        <w:rPr>
          <w:rFonts w:ascii="Times New Roman" w:hAnsi="Times New Roman" w:cs="Times New Roman"/>
          <w:b w:val="0"/>
          <w:szCs w:val="24"/>
        </w:rPr>
        <w:t>Thus, it</w:t>
      </w:r>
      <w:r w:rsidR="00502D29" w:rsidRPr="00184EF3">
        <w:rPr>
          <w:rFonts w:ascii="Times New Roman" w:hAnsi="Times New Roman" w:cs="Times New Roman"/>
          <w:b w:val="0"/>
          <w:szCs w:val="24"/>
        </w:rPr>
        <w:t xml:space="preserve"> is in these regions of the fluid flow regime that the QFFM will be shown to be most useful. </w:t>
      </w:r>
      <w:r w:rsidRPr="00184EF3">
        <w:rPr>
          <w:rFonts w:ascii="Times New Roman" w:hAnsi="Times New Roman" w:cs="Times New Roman"/>
          <w:b w:val="0"/>
          <w:szCs w:val="24"/>
        </w:rPr>
        <w:t xml:space="preserve">In </w:t>
      </w:r>
      <w:r w:rsidR="004E0F26" w:rsidRPr="00184EF3">
        <w:rPr>
          <w:rFonts w:ascii="Times New Roman" w:hAnsi="Times New Roman" w:cs="Times New Roman"/>
          <w:b w:val="0"/>
          <w:szCs w:val="24"/>
        </w:rPr>
        <w:t>fact,</w:t>
      </w:r>
      <w:r w:rsidRPr="00184EF3">
        <w:rPr>
          <w:rFonts w:ascii="Times New Roman" w:hAnsi="Times New Roman" w:cs="Times New Roman"/>
          <w:b w:val="0"/>
          <w:szCs w:val="24"/>
        </w:rPr>
        <w:t xml:space="preserve"> it is a direct consequence from the statements</w:t>
      </w:r>
      <w:r w:rsidR="00502D29" w:rsidRPr="00184EF3">
        <w:rPr>
          <w:rFonts w:ascii="Times New Roman" w:hAnsi="Times New Roman" w:cs="Times New Roman"/>
          <w:b w:val="0"/>
          <w:szCs w:val="24"/>
        </w:rPr>
        <w:t xml:space="preserve"> contained herein</w:t>
      </w:r>
      <w:r w:rsidRPr="00184EF3">
        <w:rPr>
          <w:rFonts w:ascii="Times New Roman" w:hAnsi="Times New Roman" w:cs="Times New Roman"/>
          <w:b w:val="0"/>
          <w:szCs w:val="24"/>
        </w:rPr>
        <w:t xml:space="preserve"> that one </w:t>
      </w:r>
      <w:r w:rsidR="00502D29" w:rsidRPr="00184EF3">
        <w:rPr>
          <w:rFonts w:ascii="Times New Roman" w:hAnsi="Times New Roman" w:cs="Times New Roman"/>
          <w:b w:val="0"/>
          <w:szCs w:val="24"/>
        </w:rPr>
        <w:t>needs only to measure pressure drop</w:t>
      </w:r>
      <w:r w:rsidR="00ED5268" w:rsidRPr="00184EF3">
        <w:rPr>
          <w:rFonts w:ascii="Times New Roman" w:hAnsi="Times New Roman" w:cs="Times New Roman"/>
          <w:b w:val="0"/>
          <w:szCs w:val="24"/>
        </w:rPr>
        <w:t xml:space="preserve"> and fluid flow </w:t>
      </w:r>
      <w:r w:rsidR="004E0F26" w:rsidRPr="00184EF3">
        <w:rPr>
          <w:rFonts w:ascii="Times New Roman" w:hAnsi="Times New Roman" w:cs="Times New Roman"/>
          <w:b w:val="0"/>
          <w:szCs w:val="24"/>
        </w:rPr>
        <w:t>rate to</w:t>
      </w:r>
      <w:r w:rsidR="00502D29" w:rsidRPr="00184EF3">
        <w:rPr>
          <w:rFonts w:ascii="Times New Roman" w:hAnsi="Times New Roman" w:cs="Times New Roman"/>
          <w:b w:val="0"/>
          <w:szCs w:val="24"/>
        </w:rPr>
        <w:t xml:space="preserve"> evaluate the quality of one’s experimental technique.</w:t>
      </w:r>
      <w:r w:rsidR="00E13989" w:rsidRPr="00184EF3">
        <w:rPr>
          <w:rFonts w:ascii="Times New Roman" w:hAnsi="Times New Roman" w:cs="Times New Roman"/>
          <w:b w:val="0"/>
          <w:szCs w:val="24"/>
        </w:rPr>
        <w:t xml:space="preserve"> This new development in fluid dynamics means that those of us who have spent our entire lives doing fluid flow measurements can now enjoy the same be</w:t>
      </w:r>
      <w:r w:rsidR="00ED5268" w:rsidRPr="00184EF3">
        <w:rPr>
          <w:rFonts w:ascii="Times New Roman" w:hAnsi="Times New Roman" w:cs="Times New Roman"/>
          <w:b w:val="0"/>
          <w:szCs w:val="24"/>
        </w:rPr>
        <w:t>nefits as</w:t>
      </w:r>
      <w:r w:rsidR="00E13989" w:rsidRPr="00184EF3">
        <w:rPr>
          <w:rFonts w:ascii="Times New Roman" w:hAnsi="Times New Roman" w:cs="Times New Roman"/>
          <w:b w:val="0"/>
          <w:szCs w:val="24"/>
        </w:rPr>
        <w:t xml:space="preserve"> our counterparts within the field of electricity and magnetism.</w:t>
      </w:r>
    </w:p>
    <w:p w14:paraId="254FFAAF" w14:textId="77777777" w:rsidR="00EE18E2" w:rsidRPr="00184EF3" w:rsidRDefault="001C2B61" w:rsidP="00EE18E2">
      <w:pPr>
        <w:pStyle w:val="SectionTitle"/>
        <w:rPr>
          <w:rFonts w:ascii="Times New Roman" w:hAnsi="Times New Roman" w:cs="Times New Roman"/>
          <w:sz w:val="24"/>
          <w:szCs w:val="24"/>
        </w:rPr>
      </w:pPr>
      <w:r w:rsidRPr="00184EF3">
        <w:rPr>
          <w:rFonts w:ascii="Times New Roman" w:hAnsi="Times New Roman" w:cs="Times New Roman"/>
          <w:sz w:val="24"/>
          <w:szCs w:val="24"/>
        </w:rPr>
        <w:lastRenderedPageBreak/>
        <w:t xml:space="preserve">Paper </w:t>
      </w:r>
      <w:r w:rsidR="00EE18E2" w:rsidRPr="00184EF3">
        <w:rPr>
          <w:rFonts w:ascii="Times New Roman" w:hAnsi="Times New Roman" w:cs="Times New Roman"/>
          <w:sz w:val="24"/>
          <w:szCs w:val="24"/>
        </w:rPr>
        <w:t>Summary</w:t>
      </w:r>
    </w:p>
    <w:p w14:paraId="0850E26B" w14:textId="2E9C27DB" w:rsidR="00D437BD" w:rsidRPr="00184EF3" w:rsidRDefault="00966624">
      <w:pPr>
        <w:rPr>
          <w:rFonts w:ascii="Times New Roman" w:hAnsi="Times New Roman" w:cs="Times New Roman"/>
          <w:szCs w:val="24"/>
        </w:rPr>
      </w:pPr>
      <w:r w:rsidRPr="00184EF3">
        <w:rPr>
          <w:rFonts w:ascii="Times New Roman" w:hAnsi="Times New Roman" w:cs="Times New Roman"/>
          <w:szCs w:val="24"/>
        </w:rPr>
        <w:t xml:space="preserve">We review here </w:t>
      </w:r>
      <w:r w:rsidR="003E4587" w:rsidRPr="00184EF3">
        <w:rPr>
          <w:rFonts w:ascii="Times New Roman" w:hAnsi="Times New Roman" w:cs="Times New Roman"/>
          <w:szCs w:val="24"/>
        </w:rPr>
        <w:t xml:space="preserve">a published article in </w:t>
      </w:r>
      <w:r w:rsidR="008B2E3F" w:rsidRPr="00184EF3">
        <w:rPr>
          <w:rFonts w:ascii="Times New Roman" w:hAnsi="Times New Roman" w:cs="Times New Roman"/>
          <w:b/>
          <w:i/>
          <w:szCs w:val="24"/>
        </w:rPr>
        <w:t>J.Sep.Sci.2007, 30, 1207-1213</w:t>
      </w:r>
      <w:r w:rsidR="003E4587" w:rsidRPr="00184EF3">
        <w:rPr>
          <w:rFonts w:ascii="Times New Roman" w:hAnsi="Times New Roman" w:cs="Times New Roman"/>
          <w:b/>
          <w:szCs w:val="24"/>
        </w:rPr>
        <w:t>,</w:t>
      </w:r>
      <w:r w:rsidR="003E4587" w:rsidRPr="00184EF3">
        <w:rPr>
          <w:rFonts w:ascii="Times New Roman" w:hAnsi="Times New Roman" w:cs="Times New Roman"/>
          <w:szCs w:val="24"/>
        </w:rPr>
        <w:t xml:space="preserve"> entitled </w:t>
      </w:r>
      <w:r w:rsidR="008B2E3F" w:rsidRPr="00184EF3">
        <w:rPr>
          <w:rFonts w:ascii="Times New Roman" w:hAnsi="Times New Roman" w:cs="Times New Roman"/>
          <w:b/>
          <w:i/>
          <w:szCs w:val="24"/>
        </w:rPr>
        <w:t>Ultrahigh-pressure liquid chromatography using a 1-mm id column packed with 1.5-</w:t>
      </w:r>
      <w:r w:rsidR="008B2E3F" w:rsidRPr="0087639D">
        <w:rPr>
          <w:rFonts w:ascii="Symbol" w:hAnsi="Symbol" w:cs="Times New Roman"/>
          <w:b/>
          <w:i/>
          <w:szCs w:val="24"/>
        </w:rPr>
        <w:t></w:t>
      </w:r>
      <w:r w:rsidR="008B2E3F" w:rsidRPr="00184EF3">
        <w:rPr>
          <w:rFonts w:ascii="Times New Roman" w:hAnsi="Times New Roman" w:cs="Times New Roman"/>
          <w:b/>
          <w:i/>
          <w:szCs w:val="24"/>
        </w:rPr>
        <w:t>m porous particles,</w:t>
      </w:r>
      <w:r w:rsidR="00F94866" w:rsidRPr="00184EF3">
        <w:rPr>
          <w:rFonts w:ascii="Times New Roman" w:hAnsi="Times New Roman" w:cs="Times New Roman"/>
          <w:b/>
          <w:i/>
          <w:szCs w:val="24"/>
        </w:rPr>
        <w:t xml:space="preserve"> </w:t>
      </w:r>
      <w:r w:rsidR="004F5BF8" w:rsidRPr="00184EF3">
        <w:rPr>
          <w:rFonts w:ascii="Times New Roman" w:hAnsi="Times New Roman" w:cs="Times New Roman"/>
          <w:szCs w:val="24"/>
        </w:rPr>
        <w:t xml:space="preserve">by </w:t>
      </w:r>
      <w:r w:rsidR="008B2E3F" w:rsidRPr="00184EF3">
        <w:rPr>
          <w:rFonts w:ascii="Times New Roman" w:hAnsi="Times New Roman" w:cs="Times New Roman"/>
          <w:b/>
          <w:szCs w:val="24"/>
        </w:rPr>
        <w:t>Anspack</w:t>
      </w:r>
      <w:r w:rsidR="003E4587" w:rsidRPr="00184EF3">
        <w:rPr>
          <w:rFonts w:ascii="Times New Roman" w:hAnsi="Times New Roman" w:cs="Times New Roman"/>
          <w:b/>
          <w:szCs w:val="24"/>
        </w:rPr>
        <w:t xml:space="preserve"> et al</w:t>
      </w:r>
      <w:r w:rsidRPr="00184EF3">
        <w:rPr>
          <w:rFonts w:ascii="Times New Roman" w:hAnsi="Times New Roman" w:cs="Times New Roman"/>
          <w:szCs w:val="24"/>
        </w:rPr>
        <w:t xml:space="preserve">. </w:t>
      </w:r>
      <w:r w:rsidR="00EF4C61" w:rsidRPr="00184EF3">
        <w:rPr>
          <w:rFonts w:ascii="Times New Roman" w:hAnsi="Times New Roman" w:cs="Times New Roman"/>
          <w:szCs w:val="24"/>
        </w:rPr>
        <w:t>For easy reference to the reader, we print here in its entirety the abstract in the paper.</w:t>
      </w:r>
    </w:p>
    <w:p w14:paraId="220AEA5B" w14:textId="77777777" w:rsidR="00EF4C61" w:rsidRPr="00184EF3" w:rsidRDefault="00EF4C61">
      <w:pPr>
        <w:rPr>
          <w:rFonts w:ascii="Times New Roman" w:hAnsi="Times New Roman" w:cs="Times New Roman"/>
          <w:szCs w:val="24"/>
        </w:rPr>
      </w:pPr>
    </w:p>
    <w:p w14:paraId="17CD637A" w14:textId="77777777" w:rsidR="00EF4C61" w:rsidRPr="00184EF3" w:rsidRDefault="00EF4C61" w:rsidP="00EF4C61">
      <w:pPr>
        <w:jc w:val="center"/>
        <w:rPr>
          <w:rFonts w:ascii="Times New Roman" w:hAnsi="Times New Roman" w:cs="Times New Roman"/>
          <w:b/>
          <w:szCs w:val="24"/>
        </w:rPr>
      </w:pPr>
      <w:r w:rsidRPr="00184EF3">
        <w:rPr>
          <w:rFonts w:ascii="Times New Roman" w:hAnsi="Times New Roman" w:cs="Times New Roman"/>
          <w:b/>
          <w:szCs w:val="24"/>
        </w:rPr>
        <w:t>Paper Abstract</w:t>
      </w:r>
    </w:p>
    <w:p w14:paraId="3FCB997A" w14:textId="77777777" w:rsidR="003044B6" w:rsidRPr="00184EF3" w:rsidRDefault="003044B6" w:rsidP="00D437BD">
      <w:pPr>
        <w:ind w:firstLine="0"/>
        <w:rPr>
          <w:rFonts w:ascii="Times New Roman" w:hAnsi="Times New Roman" w:cs="Times New Roman"/>
          <w:b/>
          <w:szCs w:val="24"/>
        </w:rPr>
      </w:pPr>
    </w:p>
    <w:p w14:paraId="573B3F9B" w14:textId="69B9FFD0" w:rsidR="00F536B3" w:rsidRPr="00184EF3" w:rsidRDefault="00AD26CD" w:rsidP="00D437BD">
      <w:pPr>
        <w:ind w:firstLine="0"/>
        <w:rPr>
          <w:rFonts w:ascii="Times New Roman" w:hAnsi="Times New Roman" w:cs="Times New Roman"/>
          <w:szCs w:val="24"/>
        </w:rPr>
      </w:pPr>
      <w:r w:rsidRPr="00184EF3">
        <w:rPr>
          <w:rFonts w:ascii="Times New Roman" w:hAnsi="Times New Roman" w:cs="Times New Roman"/>
          <w:szCs w:val="24"/>
        </w:rPr>
        <w:t>The evolution of chromatography has led to the reduction in the size of the packing materials used to fabricate HPLC columns. The increase in the backpressure required has led to this technique being referred to as ultrahigh-pressure liquid chromatography (UHPLC) when the column backpressure exceeds 10,000 psi (</w:t>
      </w:r>
      <w:r w:rsidRPr="00184EF3">
        <w:rPr>
          <w:rFonts w:ascii="Cambria Math" w:hAnsi="Cambria Math" w:cs="Cambria Math"/>
          <w:szCs w:val="24"/>
        </w:rPr>
        <w:t>∿</w:t>
      </w:r>
      <w:r w:rsidRPr="00184EF3">
        <w:rPr>
          <w:rFonts w:ascii="Times New Roman" w:hAnsi="Times New Roman" w:cs="Times New Roman"/>
          <w:szCs w:val="24"/>
        </w:rPr>
        <w:t>700 bar). Until recently, columns packed with sub-2-</w:t>
      </w:r>
      <w:r w:rsidRPr="0087639D">
        <w:rPr>
          <w:rFonts w:ascii="Symbol" w:hAnsi="Symbol" w:cs="Times New Roman"/>
          <w:szCs w:val="24"/>
        </w:rPr>
        <w:t></w:t>
      </w:r>
      <w:r w:rsidRPr="00184EF3">
        <w:rPr>
          <w:rFonts w:ascii="Times New Roman" w:hAnsi="Times New Roman" w:cs="Times New Roman"/>
          <w:szCs w:val="24"/>
        </w:rPr>
        <w:t>m materials have generally fitted into two classes;</w:t>
      </w:r>
      <w:r w:rsidR="00BB68AF" w:rsidRPr="00184EF3">
        <w:rPr>
          <w:rFonts w:ascii="Times New Roman" w:hAnsi="Times New Roman" w:cs="Times New Roman"/>
          <w:szCs w:val="24"/>
        </w:rPr>
        <w:t xml:space="preserve"> either short (less than 5 cm) columns designed for use on traditional HPLC systems at pressures less than 5,000 psi (350 bar), or capillary columns (inner diameters less than 100 </w:t>
      </w:r>
      <w:r w:rsidR="00BB68AF" w:rsidRPr="0087639D">
        <w:rPr>
          <w:rFonts w:ascii="Symbol" w:hAnsi="Symbol" w:cs="Times New Roman"/>
          <w:szCs w:val="24"/>
        </w:rPr>
        <w:t></w:t>
      </w:r>
      <w:r w:rsidR="00BB68AF" w:rsidRPr="00184EF3">
        <w:rPr>
          <w:rFonts w:ascii="Times New Roman" w:hAnsi="Times New Roman" w:cs="Times New Roman"/>
          <w:szCs w:val="24"/>
        </w:rPr>
        <w:t>m).</w:t>
      </w:r>
      <w:r w:rsidR="004462EA" w:rsidRPr="00184EF3">
        <w:rPr>
          <w:rFonts w:ascii="Times New Roman" w:hAnsi="Times New Roman" w:cs="Times New Roman"/>
          <w:szCs w:val="24"/>
        </w:rPr>
        <w:t xml:space="preserve"> By using packing materials with diameters &lt;2 </w:t>
      </w:r>
      <w:r w:rsidR="004462EA" w:rsidRPr="0087639D">
        <w:rPr>
          <w:rFonts w:ascii="Symbol" w:hAnsi="Symbol" w:cs="Times New Roman"/>
          <w:szCs w:val="24"/>
        </w:rPr>
        <w:t></w:t>
      </w:r>
      <w:r w:rsidR="004462EA" w:rsidRPr="00184EF3">
        <w:rPr>
          <w:rFonts w:ascii="Times New Roman" w:hAnsi="Times New Roman" w:cs="Times New Roman"/>
          <w:szCs w:val="24"/>
        </w:rPr>
        <w:t>m to fabricate UHPLC columns, there is an increase in efficiency and a decrease in the analysis time that are directly proportional to the size of the packing material. In order to realize and exploit the increase in efficiency, however, the columns must maintain lengths typically associated with analytical columns (15-25 cm). We have packed 1 mm diameter, 150 mm in length columns with 1.5</w:t>
      </w:r>
      <w:r w:rsidR="0087639D">
        <w:rPr>
          <w:rFonts w:ascii="Times New Roman" w:hAnsi="Times New Roman" w:cs="Times New Roman"/>
          <w:szCs w:val="24"/>
        </w:rPr>
        <w:t xml:space="preserve"> </w:t>
      </w:r>
      <w:r w:rsidR="0087639D" w:rsidRPr="0087639D">
        <w:rPr>
          <w:rFonts w:ascii="Symbol" w:hAnsi="Symbol" w:cs="Times New Roman"/>
          <w:szCs w:val="24"/>
        </w:rPr>
        <w:t></w:t>
      </w:r>
      <w:r w:rsidR="004E76E3" w:rsidRPr="00184EF3">
        <w:rPr>
          <w:rFonts w:ascii="Times New Roman" w:hAnsi="Times New Roman" w:cs="Times New Roman"/>
          <w:szCs w:val="24"/>
        </w:rPr>
        <w:t>m</w:t>
      </w:r>
      <w:r w:rsidR="004462EA" w:rsidRPr="00184EF3">
        <w:rPr>
          <w:rFonts w:ascii="Times New Roman" w:hAnsi="Times New Roman" w:cs="Times New Roman"/>
          <w:szCs w:val="24"/>
        </w:rPr>
        <w:t xml:space="preserve"> packing material, and evaluated their p</w:t>
      </w:r>
      <w:r w:rsidR="004E76E3" w:rsidRPr="00184EF3">
        <w:rPr>
          <w:rFonts w:ascii="Times New Roman" w:hAnsi="Times New Roman" w:cs="Times New Roman"/>
          <w:szCs w:val="24"/>
        </w:rPr>
        <w:t>erformance in UHPLC. The pressure required to achieve optimu</w:t>
      </w:r>
      <w:r w:rsidR="004462EA" w:rsidRPr="00184EF3">
        <w:rPr>
          <w:rFonts w:ascii="Times New Roman" w:hAnsi="Times New Roman" w:cs="Times New Roman"/>
          <w:szCs w:val="24"/>
        </w:rPr>
        <w:t xml:space="preserve">m linear velocities in plots of plate height versus linear velocity was in the vicinity of 1104 bar (16,000 psi). The 1.5 </w:t>
      </w:r>
      <w:r w:rsidR="004462EA" w:rsidRPr="0087639D">
        <w:rPr>
          <w:rFonts w:ascii="Symbol" w:hAnsi="Symbol" w:cs="Times New Roman"/>
          <w:szCs w:val="24"/>
        </w:rPr>
        <w:t></w:t>
      </w:r>
      <w:r w:rsidR="004462EA" w:rsidRPr="00184EF3">
        <w:rPr>
          <w:rFonts w:ascii="Times New Roman" w:hAnsi="Times New Roman" w:cs="Times New Roman"/>
          <w:szCs w:val="24"/>
        </w:rPr>
        <w:t>m particle-packed column was compared with the more traditional 150 mm long analytical columns packed with 3</w:t>
      </w:r>
      <w:r w:rsidR="004462EA" w:rsidRPr="0087639D">
        <w:rPr>
          <w:rFonts w:ascii="Symbol" w:hAnsi="Symbol" w:cs="Times New Roman"/>
          <w:szCs w:val="24"/>
        </w:rPr>
        <w:t></w:t>
      </w:r>
      <w:r w:rsidR="004462EA" w:rsidRPr="00184EF3">
        <w:rPr>
          <w:rFonts w:ascii="Times New Roman" w:hAnsi="Times New Roman" w:cs="Times New Roman"/>
          <w:szCs w:val="24"/>
        </w:rPr>
        <w:t xml:space="preserve">m materials. This column showed an efficiency that was approximately twice that observed with the 3 </w:t>
      </w:r>
      <w:r w:rsidR="004462EA" w:rsidRPr="0087639D">
        <w:rPr>
          <w:rFonts w:ascii="Symbol" w:hAnsi="Symbol" w:cs="Times New Roman"/>
          <w:szCs w:val="24"/>
        </w:rPr>
        <w:t></w:t>
      </w:r>
      <w:r w:rsidR="004462EA" w:rsidRPr="00184EF3">
        <w:rPr>
          <w:rFonts w:ascii="Times New Roman" w:hAnsi="Times New Roman" w:cs="Times New Roman"/>
          <w:szCs w:val="24"/>
        </w:rPr>
        <w:t>m packed column and a concomitant reduction in the analysis time, theoretically predicted.</w:t>
      </w:r>
    </w:p>
    <w:p w14:paraId="6F239524" w14:textId="77777777" w:rsidR="00184EF3" w:rsidRPr="00184EF3" w:rsidRDefault="00184EF3" w:rsidP="00D437BD">
      <w:pPr>
        <w:ind w:firstLine="0"/>
        <w:rPr>
          <w:rFonts w:ascii="Times New Roman" w:hAnsi="Times New Roman" w:cs="Times New Roman"/>
          <w:szCs w:val="24"/>
        </w:rPr>
      </w:pPr>
    </w:p>
    <w:p w14:paraId="650BC73D" w14:textId="431D7E7D" w:rsidR="0005008F" w:rsidRDefault="00814BB6" w:rsidP="00184EF3">
      <w:pPr>
        <w:pStyle w:val="Body"/>
        <w:jc w:val="center"/>
        <w:rPr>
          <w:b/>
          <w:szCs w:val="24"/>
        </w:rPr>
      </w:pPr>
      <w:r w:rsidRPr="00933A92">
        <w:rPr>
          <w:b/>
          <w:szCs w:val="24"/>
        </w:rPr>
        <w:t>Data Analysis</w:t>
      </w:r>
    </w:p>
    <w:p w14:paraId="57839C52" w14:textId="77777777" w:rsidR="00F8323D" w:rsidRDefault="00F8323D" w:rsidP="00F8323D">
      <w:pPr>
        <w:ind w:firstLine="0"/>
        <w:rPr>
          <w:rFonts w:ascii="Times New Roman" w:hAnsi="Times New Roman" w:cs="Times New Roman"/>
          <w:szCs w:val="24"/>
        </w:rPr>
      </w:pPr>
      <w:r w:rsidRPr="00184EF3">
        <w:rPr>
          <w:rFonts w:ascii="Times New Roman" w:hAnsi="Times New Roman" w:cs="Times New Roman"/>
          <w:szCs w:val="24"/>
        </w:rPr>
        <w:t>TWG has performed an extensive evaluation of the above referenced published article utilizing the QFFM.  We commence our evaluation of the paper with an in-depth analysis of the reported data.</w:t>
      </w:r>
    </w:p>
    <w:p w14:paraId="54EA19CA" w14:textId="77777777" w:rsidR="00F8323D" w:rsidRDefault="00F8323D" w:rsidP="00F8323D">
      <w:pPr>
        <w:ind w:firstLine="0"/>
        <w:rPr>
          <w:rFonts w:ascii="Times New Roman" w:hAnsi="Times New Roman" w:cs="Times New Roman"/>
          <w:szCs w:val="24"/>
        </w:rPr>
      </w:pPr>
    </w:p>
    <w:p w14:paraId="33EC4A7A" w14:textId="0AF1F9F9" w:rsidR="00F8323D" w:rsidRPr="00184EF3" w:rsidRDefault="00F8323D" w:rsidP="00F8323D">
      <w:pPr>
        <w:ind w:firstLine="0"/>
        <w:rPr>
          <w:rFonts w:ascii="Times New Roman" w:hAnsi="Times New Roman" w:cs="Times New Roman"/>
          <w:szCs w:val="24"/>
        </w:rPr>
      </w:pPr>
      <w:r w:rsidRPr="00184EF3">
        <w:rPr>
          <w:noProof/>
          <w:szCs w:val="24"/>
        </w:rPr>
        <w:t>In our Fig. A herein, we show an elaboration of Fig. 1 in the paper. As can be seen from our plot we have captured precisely the experimental information contained in Fig. 1 in the paper. Accordingly, our application of the QFFM captures all the measured data correctly</w:t>
      </w:r>
    </w:p>
    <w:p w14:paraId="3AB1F152" w14:textId="77777777" w:rsidR="00F8323D" w:rsidRDefault="00F8323D" w:rsidP="00184EF3">
      <w:pPr>
        <w:pStyle w:val="Body"/>
        <w:jc w:val="center"/>
        <w:rPr>
          <w:b/>
          <w:szCs w:val="24"/>
        </w:rPr>
      </w:pPr>
    </w:p>
    <w:p w14:paraId="6F10E534" w14:textId="77777777" w:rsidR="00F8323D" w:rsidRDefault="00F8323D" w:rsidP="00184EF3">
      <w:pPr>
        <w:pStyle w:val="Body"/>
        <w:jc w:val="center"/>
        <w:rPr>
          <w:b/>
          <w:szCs w:val="24"/>
        </w:rPr>
      </w:pPr>
    </w:p>
    <w:p w14:paraId="7635FFE9" w14:textId="77777777" w:rsidR="00F8323D" w:rsidRDefault="00F8323D" w:rsidP="00184EF3">
      <w:pPr>
        <w:pStyle w:val="Body"/>
        <w:jc w:val="center"/>
        <w:rPr>
          <w:b/>
          <w:szCs w:val="24"/>
        </w:rPr>
      </w:pPr>
    </w:p>
    <w:p w14:paraId="10A78FCC" w14:textId="77777777" w:rsidR="00F8323D" w:rsidRDefault="00F8323D" w:rsidP="00184EF3">
      <w:pPr>
        <w:pStyle w:val="Body"/>
        <w:jc w:val="center"/>
        <w:rPr>
          <w:b/>
          <w:szCs w:val="24"/>
        </w:rPr>
      </w:pPr>
    </w:p>
    <w:p w14:paraId="07444C38" w14:textId="77777777" w:rsidR="00F8323D" w:rsidRDefault="00F8323D" w:rsidP="00184EF3">
      <w:pPr>
        <w:pStyle w:val="Body"/>
        <w:jc w:val="center"/>
        <w:rPr>
          <w:b/>
          <w:szCs w:val="24"/>
        </w:rPr>
      </w:pPr>
    </w:p>
    <w:p w14:paraId="622CC247" w14:textId="77777777" w:rsidR="00F8323D" w:rsidRDefault="00F8323D" w:rsidP="00184EF3">
      <w:pPr>
        <w:pStyle w:val="Body"/>
        <w:jc w:val="center"/>
        <w:rPr>
          <w:b/>
          <w:szCs w:val="24"/>
        </w:rPr>
      </w:pPr>
    </w:p>
    <w:p w14:paraId="382745D6" w14:textId="77777777" w:rsidR="00F8323D" w:rsidRDefault="00F8323D" w:rsidP="00F8323D">
      <w:pPr>
        <w:pStyle w:val="Body"/>
        <w:ind w:firstLine="0"/>
        <w:rPr>
          <w:b/>
          <w:szCs w:val="24"/>
        </w:rPr>
      </w:pPr>
    </w:p>
    <w:p w14:paraId="55AEF95C" w14:textId="77777777" w:rsidR="00F8323D" w:rsidRDefault="00F8323D" w:rsidP="00184EF3">
      <w:pPr>
        <w:pStyle w:val="Body"/>
        <w:jc w:val="center"/>
        <w:rPr>
          <w:b/>
          <w:szCs w:val="24"/>
        </w:rPr>
      </w:pPr>
    </w:p>
    <w:p w14:paraId="6A7FD12C" w14:textId="5B485F94" w:rsidR="00B308B8" w:rsidRPr="0005008F" w:rsidRDefault="00B308B8" w:rsidP="0005008F">
      <w:pPr>
        <w:ind w:firstLine="0"/>
        <w:rPr>
          <w:b/>
          <w:szCs w:val="24"/>
        </w:rPr>
      </w:pPr>
      <w:r w:rsidRPr="0005008F">
        <w:rPr>
          <w:b/>
          <w:szCs w:val="24"/>
        </w:rPr>
        <w:t xml:space="preserve">Fig. </w:t>
      </w:r>
      <w:r w:rsidR="0005008F" w:rsidRPr="0005008F">
        <w:rPr>
          <w:b/>
          <w:szCs w:val="24"/>
        </w:rPr>
        <w:t>A</w:t>
      </w:r>
    </w:p>
    <w:p w14:paraId="4488772D" w14:textId="77777777" w:rsidR="001B7DE8" w:rsidRPr="00933A92" w:rsidRDefault="001B7DE8" w:rsidP="00B308B8">
      <w:pPr>
        <w:rPr>
          <w:sz w:val="20"/>
          <w:szCs w:val="20"/>
        </w:rPr>
      </w:pPr>
    </w:p>
    <w:p w14:paraId="4250CC4B" w14:textId="6A5DBC66" w:rsidR="00B308B8" w:rsidRDefault="0005008F">
      <w:pPr>
        <w:rPr>
          <w:noProof/>
        </w:rPr>
      </w:pPr>
      <w:r>
        <w:rPr>
          <w:noProof/>
        </w:rPr>
        <w:drawing>
          <wp:inline distT="0" distB="0" distL="0" distR="0" wp14:anchorId="29117CFB" wp14:editId="0E3D3CC9">
            <wp:extent cx="6048375" cy="33432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FE0379" w14:textId="77777777" w:rsidR="00F536B3" w:rsidRDefault="00F536B3">
      <w:pPr>
        <w:rPr>
          <w:noProof/>
        </w:rPr>
      </w:pPr>
    </w:p>
    <w:p w14:paraId="5CD819D6" w14:textId="7143C9E1" w:rsidR="00F536B3" w:rsidRDefault="0005008F">
      <w:pPr>
        <w:rPr>
          <w:noProof/>
        </w:rPr>
      </w:pPr>
      <w:r>
        <w:rPr>
          <w:noProof/>
        </w:rPr>
        <w:drawing>
          <wp:inline distT="0" distB="0" distL="0" distR="0" wp14:anchorId="50A4AAE2" wp14:editId="14B665A4">
            <wp:extent cx="5876925" cy="38766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1AD4EF" w14:textId="4A485BF6" w:rsidR="00F8323D" w:rsidRPr="00184EF3" w:rsidRDefault="00F8323D" w:rsidP="00F8323D">
      <w:pPr>
        <w:ind w:firstLine="0"/>
        <w:rPr>
          <w:noProof/>
          <w:szCs w:val="24"/>
        </w:rPr>
      </w:pPr>
    </w:p>
    <w:p w14:paraId="1C2C127B" w14:textId="77777777" w:rsidR="0005008F" w:rsidRPr="00184EF3" w:rsidRDefault="0005008F">
      <w:pPr>
        <w:rPr>
          <w:noProof/>
          <w:szCs w:val="24"/>
        </w:rPr>
      </w:pPr>
    </w:p>
    <w:p w14:paraId="1574C6A7" w14:textId="3215FBE2" w:rsidR="0005008F" w:rsidRPr="00184EF3" w:rsidRDefault="0005008F" w:rsidP="0005008F">
      <w:pPr>
        <w:rPr>
          <w:rFonts w:ascii="Times New Roman" w:hAnsi="Times New Roman" w:cs="Times New Roman"/>
          <w:szCs w:val="24"/>
        </w:rPr>
      </w:pPr>
      <w:r w:rsidRPr="00184EF3">
        <w:rPr>
          <w:rFonts w:ascii="Times New Roman" w:hAnsi="Times New Roman" w:cs="Times New Roman"/>
          <w:szCs w:val="24"/>
        </w:rPr>
        <w:t xml:space="preserve">In Fig. B herein, we have provided our validation of the </w:t>
      </w:r>
      <w:r w:rsidR="000361B0" w:rsidRPr="00184EF3">
        <w:rPr>
          <w:rFonts w:ascii="Times New Roman" w:hAnsi="Times New Roman" w:cs="Times New Roman"/>
          <w:szCs w:val="24"/>
        </w:rPr>
        <w:t>papers</w:t>
      </w:r>
      <w:r w:rsidRPr="00184EF3">
        <w:rPr>
          <w:rFonts w:ascii="Times New Roman" w:hAnsi="Times New Roman" w:cs="Times New Roman"/>
          <w:szCs w:val="24"/>
        </w:rPr>
        <w:t xml:space="preserve"> reported data by a comparison of the data to Quinn’s Law. This normalized relationship is presented herein in the form of a plot of P</w:t>
      </w:r>
      <w:r w:rsidRPr="00184EF3">
        <w:rPr>
          <w:rFonts w:ascii="Times New Roman" w:hAnsi="Times New Roman" w:cs="Times New Roman"/>
          <w:szCs w:val="24"/>
          <w:vertAlign w:val="subscript"/>
        </w:rPr>
        <w:t>Q</w:t>
      </w:r>
      <w:r w:rsidRPr="00184EF3">
        <w:rPr>
          <w:rFonts w:ascii="Times New Roman" w:hAnsi="Times New Roman" w:cs="Times New Roman"/>
          <w:szCs w:val="24"/>
        </w:rPr>
        <w:t xml:space="preserve"> versus Q</w:t>
      </w:r>
      <w:r w:rsidRPr="00184EF3">
        <w:rPr>
          <w:rFonts w:ascii="Times New Roman" w:hAnsi="Times New Roman" w:cs="Times New Roman"/>
          <w:szCs w:val="24"/>
          <w:vertAlign w:val="subscript"/>
        </w:rPr>
        <w:t xml:space="preserve">C, </w:t>
      </w:r>
      <w:r w:rsidRPr="00184EF3">
        <w:rPr>
          <w:rFonts w:ascii="Times New Roman" w:hAnsi="Times New Roman" w:cs="Times New Roman"/>
          <w:szCs w:val="24"/>
        </w:rPr>
        <w:t>which</w:t>
      </w:r>
      <w:r w:rsidRPr="00184EF3">
        <w:rPr>
          <w:rFonts w:ascii="Times New Roman" w:hAnsi="Times New Roman" w:cs="Times New Roman"/>
          <w:szCs w:val="24"/>
          <w:vertAlign w:val="subscript"/>
        </w:rPr>
        <w:t xml:space="preserve"> </w:t>
      </w:r>
      <w:r w:rsidRPr="00184EF3">
        <w:rPr>
          <w:rFonts w:ascii="Times New Roman" w:hAnsi="Times New Roman" w:cs="Times New Roman"/>
          <w:szCs w:val="24"/>
        </w:rPr>
        <w:t xml:space="preserve">is the frame of reference of Quinn’s Law. This frame of reference is a transformation derived from the dimensional fluid flow relationship embedded in the QFFM. The relationship between these two unique reduced Quinn parameters is </w:t>
      </w:r>
      <w:r w:rsidRPr="00184EF3">
        <w:rPr>
          <w:rFonts w:ascii="Times New Roman" w:hAnsi="Times New Roman" w:cs="Times New Roman"/>
          <w:i/>
          <w:szCs w:val="24"/>
        </w:rPr>
        <w:t>linear</w:t>
      </w:r>
      <w:r w:rsidRPr="00184EF3">
        <w:rPr>
          <w:rFonts w:ascii="Times New Roman" w:hAnsi="Times New Roman" w:cs="Times New Roman"/>
          <w:szCs w:val="24"/>
        </w:rPr>
        <w:t xml:space="preserve">. However, we chose to present it as a </w:t>
      </w:r>
      <w:r w:rsidRPr="00184EF3">
        <w:rPr>
          <w:rFonts w:ascii="Times New Roman" w:hAnsi="Times New Roman" w:cs="Times New Roman"/>
          <w:i/>
          <w:szCs w:val="24"/>
        </w:rPr>
        <w:t>log-log plot</w:t>
      </w:r>
      <w:r w:rsidRPr="00184EF3">
        <w:rPr>
          <w:rFonts w:ascii="Times New Roman" w:hAnsi="Times New Roman" w:cs="Times New Roman"/>
          <w:szCs w:val="24"/>
        </w:rPr>
        <w:t xml:space="preserve"> herein to provide emphasis at both extremes of the fluid flow regime. This plot is based upon both our own experimental data and </w:t>
      </w:r>
      <w:r w:rsidRPr="00184EF3">
        <w:rPr>
          <w:rFonts w:ascii="Times New Roman" w:hAnsi="Times New Roman" w:cs="Times New Roman"/>
          <w:i/>
          <w:szCs w:val="24"/>
        </w:rPr>
        <w:t>independent accepted classical reference data</w:t>
      </w:r>
      <w:r w:rsidRPr="00184EF3">
        <w:rPr>
          <w:rFonts w:ascii="Times New Roman" w:hAnsi="Times New Roman" w:cs="Times New Roman"/>
          <w:szCs w:val="24"/>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184EF3">
        <w:rPr>
          <w:rFonts w:ascii="Times New Roman" w:hAnsi="Times New Roman" w:cs="Times New Roman"/>
          <w:szCs w:val="24"/>
          <w:vertAlign w:val="subscript"/>
        </w:rPr>
        <w:t>Q</w:t>
      </w:r>
      <w:r w:rsidRPr="00184EF3">
        <w:rPr>
          <w:rFonts w:ascii="Times New Roman" w:hAnsi="Times New Roman" w:cs="Times New Roman"/>
          <w:szCs w:val="24"/>
        </w:rPr>
        <w:t xml:space="preserve"> versus Q</w:t>
      </w:r>
      <w:r w:rsidRPr="00184EF3">
        <w:rPr>
          <w:rFonts w:ascii="Times New Roman" w:hAnsi="Times New Roman" w:cs="Times New Roman"/>
          <w:szCs w:val="24"/>
          <w:vertAlign w:val="subscript"/>
        </w:rPr>
        <w:t xml:space="preserve">C , </w:t>
      </w:r>
      <w:r w:rsidRPr="00184EF3">
        <w:rPr>
          <w:rFonts w:ascii="Times New Roman" w:hAnsi="Times New Roman" w:cs="Times New Roman"/>
          <w:szCs w:val="24"/>
        </w:rPr>
        <w:t>lines up perfectly with Quinn’s Law</w:t>
      </w:r>
    </w:p>
    <w:p w14:paraId="0C5004DC" w14:textId="77777777" w:rsidR="0005008F" w:rsidRDefault="0005008F" w:rsidP="0005008F">
      <w:pPr>
        <w:ind w:firstLine="0"/>
        <w:rPr>
          <w:noProof/>
        </w:rPr>
      </w:pPr>
    </w:p>
    <w:p w14:paraId="74D721CB" w14:textId="7C385996" w:rsidR="0005008F" w:rsidRPr="0005008F" w:rsidRDefault="0005008F">
      <w:pPr>
        <w:rPr>
          <w:b/>
          <w:noProof/>
        </w:rPr>
      </w:pPr>
      <w:r>
        <w:rPr>
          <w:noProof/>
        </w:rPr>
        <w:t>F</w:t>
      </w:r>
      <w:r w:rsidRPr="0005008F">
        <w:rPr>
          <w:b/>
          <w:noProof/>
        </w:rPr>
        <w:t>ig. B</w:t>
      </w:r>
    </w:p>
    <w:p w14:paraId="51CD2CB0" w14:textId="77777777" w:rsidR="00F536B3" w:rsidRDefault="00F536B3" w:rsidP="0005008F">
      <w:pPr>
        <w:ind w:firstLine="0"/>
        <w:rPr>
          <w:noProof/>
        </w:rPr>
      </w:pPr>
    </w:p>
    <w:p w14:paraId="47382AE9" w14:textId="0B38FB8F" w:rsidR="00F536B3" w:rsidRDefault="0005008F">
      <w:pPr>
        <w:rPr>
          <w:noProof/>
        </w:rPr>
      </w:pPr>
      <w:r>
        <w:rPr>
          <w:noProof/>
        </w:rPr>
        <w:drawing>
          <wp:inline distT="0" distB="0" distL="0" distR="0" wp14:anchorId="24176329" wp14:editId="414749F9">
            <wp:extent cx="6350960" cy="502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56102" cy="5033272"/>
                    </a:xfrm>
                    <a:prstGeom prst="rect">
                      <a:avLst/>
                    </a:prstGeom>
                  </pic:spPr>
                </pic:pic>
              </a:graphicData>
            </a:graphic>
          </wp:inline>
        </w:drawing>
      </w:r>
    </w:p>
    <w:p w14:paraId="3D55BB87" w14:textId="77777777" w:rsidR="00630FCC" w:rsidRDefault="00630FCC" w:rsidP="00C621CC">
      <w:pPr>
        <w:ind w:firstLine="0"/>
        <w:rPr>
          <w:sz w:val="20"/>
          <w:szCs w:val="20"/>
        </w:rPr>
      </w:pPr>
    </w:p>
    <w:p w14:paraId="4689CEAE" w14:textId="48CA8889" w:rsidR="00A42F85" w:rsidRPr="00184EF3" w:rsidRDefault="00630FCC" w:rsidP="005C5A4B">
      <w:pPr>
        <w:ind w:firstLine="0"/>
        <w:rPr>
          <w:rFonts w:ascii="Times New Roman" w:hAnsi="Times New Roman" w:cs="Times New Roman"/>
          <w:sz w:val="22"/>
        </w:rPr>
      </w:pPr>
      <w:r w:rsidRPr="00184EF3">
        <w:rPr>
          <w:rFonts w:ascii="Times New Roman" w:hAnsi="Times New Roman" w:cs="Times New Roman"/>
          <w:sz w:val="22"/>
        </w:rPr>
        <w:lastRenderedPageBreak/>
        <w:t xml:space="preserve">[Note: we do not herein provide the back-up for the validation of the </w:t>
      </w:r>
      <w:r w:rsidR="00352A4D" w:rsidRPr="00184EF3">
        <w:rPr>
          <w:rFonts w:ascii="Times New Roman" w:hAnsi="Times New Roman" w:cs="Times New Roman"/>
          <w:sz w:val="22"/>
        </w:rPr>
        <w:t xml:space="preserve">plot of Quinn’s Law depicted in our </w:t>
      </w:r>
      <w:r w:rsidR="00260A48" w:rsidRPr="00184EF3">
        <w:rPr>
          <w:rFonts w:ascii="Times New Roman" w:hAnsi="Times New Roman" w:cs="Times New Roman"/>
          <w:sz w:val="22"/>
        </w:rPr>
        <w:t>Fig. B. For a description of the</w:t>
      </w:r>
      <w:r w:rsidR="00352A4D" w:rsidRPr="00184EF3">
        <w:rPr>
          <w:rFonts w:ascii="Times New Roman" w:hAnsi="Times New Roman" w:cs="Times New Roman"/>
          <w:sz w:val="22"/>
        </w:rPr>
        <w:t xml:space="preserve"> sources, both personal to TWG and from independent accepted classical references, </w:t>
      </w:r>
      <w:r w:rsidR="00260A48" w:rsidRPr="00184EF3">
        <w:rPr>
          <w:rFonts w:ascii="Times New Roman" w:hAnsi="Times New Roman" w:cs="Times New Roman"/>
          <w:sz w:val="22"/>
        </w:rPr>
        <w:t xml:space="preserve">on the basis of which the Quinn’s Law plot was validated, </w:t>
      </w:r>
      <w:r w:rsidR="00352A4D" w:rsidRPr="00184EF3">
        <w:rPr>
          <w:rFonts w:ascii="Times New Roman" w:hAnsi="Times New Roman" w:cs="Times New Roman"/>
          <w:sz w:val="22"/>
        </w:rPr>
        <w:t xml:space="preserve">see </w:t>
      </w:r>
      <w:r w:rsidR="00274038" w:rsidRPr="00184EF3">
        <w:rPr>
          <w:rFonts w:ascii="Times New Roman" w:hAnsi="Times New Roman" w:cs="Times New Roman"/>
          <w:sz w:val="22"/>
        </w:rPr>
        <w:t>the general introduction to this</w:t>
      </w:r>
      <w:r w:rsidR="00352A4D" w:rsidRPr="00184EF3">
        <w:rPr>
          <w:rFonts w:ascii="Times New Roman" w:hAnsi="Times New Roman" w:cs="Times New Roman"/>
          <w:sz w:val="22"/>
        </w:rPr>
        <w:t xml:space="preserve"> Universal Published Paper Review</w:t>
      </w:r>
      <w:r w:rsidR="00274038" w:rsidRPr="00184EF3">
        <w:rPr>
          <w:rFonts w:ascii="Times New Roman" w:hAnsi="Times New Roman" w:cs="Times New Roman"/>
          <w:sz w:val="22"/>
        </w:rPr>
        <w:t xml:space="preserve"> tab</w:t>
      </w:r>
    </w:p>
    <w:p w14:paraId="04158FA5" w14:textId="390A3F1A" w:rsidR="005C05D4" w:rsidRDefault="00184EF3" w:rsidP="003D0C73">
      <w:pPr>
        <w:ind w:firstLine="0"/>
        <w:rPr>
          <w:b/>
          <w:szCs w:val="24"/>
        </w:rPr>
      </w:pPr>
      <w:r>
        <w:rPr>
          <w:sz w:val="20"/>
          <w:szCs w:val="20"/>
        </w:rPr>
        <w:t xml:space="preserve">    </w:t>
      </w:r>
      <w:r w:rsidR="003D0C73" w:rsidRPr="00933A92">
        <w:rPr>
          <w:sz w:val="20"/>
          <w:szCs w:val="20"/>
        </w:rPr>
        <w:t xml:space="preserve">                                                                     </w:t>
      </w:r>
      <w:r w:rsidR="00641B67" w:rsidRPr="00933A92">
        <w:rPr>
          <w:b/>
          <w:szCs w:val="24"/>
        </w:rPr>
        <w:t>Conclusion.</w:t>
      </w:r>
    </w:p>
    <w:p w14:paraId="26D204B4" w14:textId="77777777" w:rsidR="0090190C" w:rsidRPr="00933A92" w:rsidRDefault="0090190C" w:rsidP="003D0C73">
      <w:pPr>
        <w:ind w:firstLine="0"/>
        <w:rPr>
          <w:b/>
          <w:szCs w:val="24"/>
        </w:rPr>
      </w:pPr>
    </w:p>
    <w:p w14:paraId="4A346477" w14:textId="2B93DEAD" w:rsidR="0090190C" w:rsidRPr="00184EF3" w:rsidRDefault="00B1373A" w:rsidP="0090190C">
      <w:pPr>
        <w:ind w:firstLine="0"/>
        <w:rPr>
          <w:rFonts w:ascii="Times New Roman" w:hAnsi="Times New Roman" w:cs="Times New Roman"/>
          <w:i/>
          <w:szCs w:val="24"/>
        </w:rPr>
      </w:pPr>
      <w:r w:rsidRPr="00184EF3">
        <w:rPr>
          <w:rFonts w:ascii="Times New Roman" w:hAnsi="Times New Roman" w:cs="Times New Roman"/>
          <w:szCs w:val="24"/>
        </w:rPr>
        <w:t xml:space="preserve">We conclude that the </w:t>
      </w:r>
      <w:r w:rsidR="000361B0" w:rsidRPr="00184EF3">
        <w:rPr>
          <w:rFonts w:ascii="Times New Roman" w:hAnsi="Times New Roman" w:cs="Times New Roman"/>
          <w:szCs w:val="24"/>
        </w:rPr>
        <w:t>results presented in this paper independently validate</w:t>
      </w:r>
      <w:r w:rsidR="0090190C" w:rsidRPr="00184EF3">
        <w:rPr>
          <w:rFonts w:ascii="Times New Roman" w:hAnsi="Times New Roman" w:cs="Times New Roman"/>
          <w:szCs w:val="24"/>
        </w:rPr>
        <w:t xml:space="preserve"> Quinn’s Law</w:t>
      </w:r>
      <w:r w:rsidRPr="00184EF3">
        <w:rPr>
          <w:rFonts w:ascii="Times New Roman" w:hAnsi="Times New Roman" w:cs="Times New Roman"/>
          <w:szCs w:val="24"/>
        </w:rPr>
        <w:t xml:space="preserve">. </w:t>
      </w:r>
    </w:p>
    <w:p w14:paraId="78AF80FA" w14:textId="77777777" w:rsidR="00727ED4" w:rsidRPr="00184EF3" w:rsidRDefault="00727ED4" w:rsidP="00BE1E85">
      <w:pPr>
        <w:ind w:firstLine="0"/>
        <w:rPr>
          <w:rFonts w:ascii="Times New Roman" w:hAnsi="Times New Roman" w:cs="Times New Roman"/>
          <w:szCs w:val="24"/>
        </w:rPr>
      </w:pPr>
    </w:p>
    <w:p w14:paraId="7FF3E902" w14:textId="6C5E23F6" w:rsidR="00727ED4" w:rsidRPr="00184EF3" w:rsidRDefault="00727ED4" w:rsidP="00727ED4">
      <w:pPr>
        <w:ind w:firstLine="0"/>
        <w:rPr>
          <w:rFonts w:ascii="Times New Roman" w:hAnsi="Times New Roman" w:cs="Times New Roman"/>
          <w:szCs w:val="24"/>
        </w:rPr>
      </w:pPr>
      <w:r w:rsidRPr="00184EF3">
        <w:rPr>
          <w:rFonts w:ascii="Times New Roman" w:hAnsi="Times New Roman" w:cs="Times New Roman"/>
          <w:szCs w:val="24"/>
        </w:rPr>
        <w:t>Finally, although a detailed evaluation of the experiments reported in the paper under review, including an identification and quantification of the specific variables in each fluid flow embodiment</w:t>
      </w:r>
      <w:r w:rsidR="0090190C" w:rsidRPr="00184EF3">
        <w:rPr>
          <w:rFonts w:ascii="Times New Roman" w:hAnsi="Times New Roman" w:cs="Times New Roman"/>
          <w:szCs w:val="24"/>
        </w:rPr>
        <w:t>,</w:t>
      </w:r>
      <w:r w:rsidRPr="00184EF3">
        <w:rPr>
          <w:rFonts w:ascii="Times New Roman" w:hAnsi="Times New Roman" w:cs="Times New Roman"/>
          <w:szCs w:val="24"/>
        </w:rPr>
        <w:t xml:space="preserve"> </w:t>
      </w:r>
      <w:r w:rsidR="004E0F26" w:rsidRPr="00184EF3">
        <w:rPr>
          <w:rFonts w:ascii="Times New Roman" w:hAnsi="Times New Roman" w:cs="Times New Roman"/>
          <w:szCs w:val="24"/>
        </w:rPr>
        <w:t>is</w:t>
      </w:r>
      <w:r w:rsidRPr="00184EF3">
        <w:rPr>
          <w:rFonts w:ascii="Times New Roman" w:hAnsi="Times New Roman" w:cs="Times New Roman"/>
          <w:szCs w:val="24"/>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Pr="00184EF3" w:rsidRDefault="00C76D50" w:rsidP="00C76D50">
      <w:pPr>
        <w:rPr>
          <w:rFonts w:ascii="Times New Roman" w:hAnsi="Times New Roman" w:cs="Times New Roman"/>
          <w:szCs w:val="24"/>
        </w:rPr>
      </w:pPr>
    </w:p>
    <w:p w14:paraId="47CB951B" w14:textId="77777777" w:rsidR="00C76D50" w:rsidRPr="00C76D50" w:rsidRDefault="00C76D50" w:rsidP="00C76D50">
      <w:pPr>
        <w:rPr>
          <w:szCs w:val="24"/>
        </w:rPr>
      </w:pPr>
    </w:p>
    <w:sectPr w:rsidR="00C76D50" w:rsidRPr="00C76D50" w:rsidSect="00366DA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CE9B5" w14:textId="77777777" w:rsidR="0040082F" w:rsidRDefault="0040082F" w:rsidP="00C451C1">
      <w:r>
        <w:separator/>
      </w:r>
    </w:p>
  </w:endnote>
  <w:endnote w:type="continuationSeparator" w:id="0">
    <w:p w14:paraId="64E29340" w14:textId="77777777" w:rsidR="0040082F" w:rsidRDefault="0040082F" w:rsidP="00C451C1">
      <w:r>
        <w:continuationSeparator/>
      </w:r>
    </w:p>
  </w:endnote>
  <w:endnote w:type="continuationNotice" w:id="1">
    <w:p w14:paraId="755D62FE" w14:textId="77777777" w:rsidR="0040082F" w:rsidRDefault="004008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4011E0CC" w:rsidR="00405986" w:rsidRDefault="00EF4C61" w:rsidP="001F348A">
    <w:pPr>
      <w:pStyle w:val="Footer"/>
      <w:tabs>
        <w:tab w:val="clear" w:pos="4680"/>
        <w:tab w:val="left" w:pos="0"/>
      </w:tabs>
    </w:pPr>
    <w:r>
      <w:t>5</w:t>
    </w:r>
    <w:r w:rsidR="00756776">
      <w:t>/</w:t>
    </w:r>
    <w:r w:rsidR="00F8323D">
      <w:t>23</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E65076">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E65076">
      <w:rPr>
        <w:b/>
        <w:noProof/>
      </w:rPr>
      <w:t>5</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9E867" w14:textId="77777777" w:rsidR="0040082F" w:rsidRDefault="0040082F" w:rsidP="00C451C1">
      <w:r>
        <w:separator/>
      </w:r>
    </w:p>
  </w:footnote>
  <w:footnote w:type="continuationSeparator" w:id="0">
    <w:p w14:paraId="15C030D2" w14:textId="77777777" w:rsidR="0040082F" w:rsidRDefault="0040082F" w:rsidP="00C451C1">
      <w:r>
        <w:continuationSeparator/>
      </w:r>
    </w:p>
  </w:footnote>
  <w:footnote w:type="continuationNotice" w:id="1">
    <w:p w14:paraId="51E1A95F" w14:textId="77777777" w:rsidR="0040082F" w:rsidRDefault="004008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361B0"/>
    <w:rsid w:val="00041094"/>
    <w:rsid w:val="0005008F"/>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84EF3"/>
    <w:rsid w:val="00191FD4"/>
    <w:rsid w:val="001A01EB"/>
    <w:rsid w:val="001A0D5F"/>
    <w:rsid w:val="001A2E56"/>
    <w:rsid w:val="001A745F"/>
    <w:rsid w:val="001B7DE8"/>
    <w:rsid w:val="001C19D4"/>
    <w:rsid w:val="001C2B61"/>
    <w:rsid w:val="001D5288"/>
    <w:rsid w:val="001D775F"/>
    <w:rsid w:val="001D7A98"/>
    <w:rsid w:val="001F348A"/>
    <w:rsid w:val="001F37BF"/>
    <w:rsid w:val="00204F91"/>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E71D7"/>
    <w:rsid w:val="002F7B46"/>
    <w:rsid w:val="003021F0"/>
    <w:rsid w:val="003044B6"/>
    <w:rsid w:val="00312229"/>
    <w:rsid w:val="003279D1"/>
    <w:rsid w:val="0033324D"/>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3683"/>
    <w:rsid w:val="003B38FE"/>
    <w:rsid w:val="003C53D6"/>
    <w:rsid w:val="003D0C73"/>
    <w:rsid w:val="003E4587"/>
    <w:rsid w:val="003E478A"/>
    <w:rsid w:val="003E6B0E"/>
    <w:rsid w:val="003F094B"/>
    <w:rsid w:val="003F1805"/>
    <w:rsid w:val="003F3DEE"/>
    <w:rsid w:val="003F4E38"/>
    <w:rsid w:val="003F5524"/>
    <w:rsid w:val="0040082F"/>
    <w:rsid w:val="00400F3F"/>
    <w:rsid w:val="00405986"/>
    <w:rsid w:val="00406BD7"/>
    <w:rsid w:val="00413B5D"/>
    <w:rsid w:val="0041431A"/>
    <w:rsid w:val="00414A8C"/>
    <w:rsid w:val="00423982"/>
    <w:rsid w:val="00430308"/>
    <w:rsid w:val="00431565"/>
    <w:rsid w:val="00431FD7"/>
    <w:rsid w:val="004427E7"/>
    <w:rsid w:val="004462EA"/>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E76E3"/>
    <w:rsid w:val="004F0C79"/>
    <w:rsid w:val="004F5BF8"/>
    <w:rsid w:val="005019D3"/>
    <w:rsid w:val="00501A36"/>
    <w:rsid w:val="00502D29"/>
    <w:rsid w:val="00505073"/>
    <w:rsid w:val="0052186A"/>
    <w:rsid w:val="0052229B"/>
    <w:rsid w:val="005233A3"/>
    <w:rsid w:val="00525198"/>
    <w:rsid w:val="005303E8"/>
    <w:rsid w:val="00533C9F"/>
    <w:rsid w:val="005348D1"/>
    <w:rsid w:val="005505D1"/>
    <w:rsid w:val="00555525"/>
    <w:rsid w:val="0055643D"/>
    <w:rsid w:val="00561304"/>
    <w:rsid w:val="0056446B"/>
    <w:rsid w:val="005703C7"/>
    <w:rsid w:val="00571F19"/>
    <w:rsid w:val="005804A6"/>
    <w:rsid w:val="00581D5E"/>
    <w:rsid w:val="00593B9E"/>
    <w:rsid w:val="005A2CB7"/>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27D0"/>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486D"/>
    <w:rsid w:val="0087639D"/>
    <w:rsid w:val="00877204"/>
    <w:rsid w:val="008857B1"/>
    <w:rsid w:val="00887F03"/>
    <w:rsid w:val="00892F59"/>
    <w:rsid w:val="00894973"/>
    <w:rsid w:val="008958BD"/>
    <w:rsid w:val="008B0F85"/>
    <w:rsid w:val="008B2E3F"/>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190C"/>
    <w:rsid w:val="00902A0A"/>
    <w:rsid w:val="00906616"/>
    <w:rsid w:val="00911129"/>
    <w:rsid w:val="00913CA6"/>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26CD"/>
    <w:rsid w:val="00AD30A9"/>
    <w:rsid w:val="00AD7F41"/>
    <w:rsid w:val="00AE27FB"/>
    <w:rsid w:val="00AE5ACB"/>
    <w:rsid w:val="00AF4B7F"/>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B68AF"/>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09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563BC"/>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65076"/>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640DE"/>
    <w:rsid w:val="00F640FA"/>
    <w:rsid w:val="00F74CD3"/>
    <w:rsid w:val="00F816BF"/>
    <w:rsid w:val="00F8323D"/>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1</a:t>
            </a:r>
          </a:p>
        </c:rich>
      </c:tx>
      <c:overlay val="0"/>
    </c:title>
    <c:autoTitleDeleted val="0"/>
    <c:plotArea>
      <c:layout/>
      <c:scatterChart>
        <c:scatterStyle val="smoothMarker"/>
        <c:varyColors val="0"/>
        <c:ser>
          <c:idx val="0"/>
          <c:order val="0"/>
          <c:tx>
            <c:v>3000 bar max</c:v>
          </c:tx>
          <c:xVal>
            <c:numRef>
              <c:f>Anspack!$DQ$6:$DQ$18</c:f>
              <c:numCache>
                <c:formatCode>0.00</c:formatCode>
                <c:ptCount val="13"/>
                <c:pt idx="0">
                  <c:v>0.01</c:v>
                </c:pt>
                <c:pt idx="1">
                  <c:v>0.05</c:v>
                </c:pt>
                <c:pt idx="2">
                  <c:v>0.1</c:v>
                </c:pt>
                <c:pt idx="3">
                  <c:v>0.5</c:v>
                </c:pt>
                <c:pt idx="4">
                  <c:v>1</c:v>
                </c:pt>
                <c:pt idx="5">
                  <c:v>1.4999999999999998</c:v>
                </c:pt>
                <c:pt idx="6">
                  <c:v>2</c:v>
                </c:pt>
                <c:pt idx="7">
                  <c:v>2.5</c:v>
                </c:pt>
                <c:pt idx="8">
                  <c:v>2.9999999999999996</c:v>
                </c:pt>
                <c:pt idx="9">
                  <c:v>3.5</c:v>
                </c:pt>
                <c:pt idx="10">
                  <c:v>4</c:v>
                </c:pt>
                <c:pt idx="11">
                  <c:v>4.5</c:v>
                </c:pt>
                <c:pt idx="12">
                  <c:v>5</c:v>
                </c:pt>
              </c:numCache>
            </c:numRef>
          </c:xVal>
          <c:yVal>
            <c:numRef>
              <c:f>Anspack!$DI$6:$DI$18</c:f>
              <c:numCache>
                <c:formatCode>#,##0</c:formatCode>
                <c:ptCount val="13"/>
                <c:pt idx="0">
                  <c:v>2587726158.8720946</c:v>
                </c:pt>
                <c:pt idx="1">
                  <c:v>20701797.089478355</c:v>
                </c:pt>
                <c:pt idx="2">
                  <c:v>2587724.6361847944</c:v>
                </c:pt>
                <c:pt idx="3">
                  <c:v>20701.797089478339</c:v>
                </c:pt>
                <c:pt idx="4">
                  <c:v>2587.7246361847906</c:v>
                </c:pt>
                <c:pt idx="5">
                  <c:v>766.73322553623541</c:v>
                </c:pt>
                <c:pt idx="6">
                  <c:v>323.46557952309894</c:v>
                </c:pt>
                <c:pt idx="7">
                  <c:v>165.61437671582658</c:v>
                </c:pt>
                <c:pt idx="8">
                  <c:v>95.841653192029398</c:v>
                </c:pt>
                <c:pt idx="9">
                  <c:v>60.35509355533047</c:v>
                </c:pt>
                <c:pt idx="10">
                  <c:v>40.433197440387374</c:v>
                </c:pt>
                <c:pt idx="11">
                  <c:v>28.397526871712511</c:v>
                </c:pt>
                <c:pt idx="12">
                  <c:v>20.701797089478362</c:v>
                </c:pt>
              </c:numCache>
            </c:numRef>
          </c:yVal>
          <c:smooth val="1"/>
        </c:ser>
        <c:dLbls>
          <c:showLegendKey val="0"/>
          <c:showVal val="0"/>
          <c:showCatName val="0"/>
          <c:showSerName val="0"/>
          <c:showPercent val="0"/>
          <c:showBubbleSize val="0"/>
        </c:dLbls>
        <c:axId val="176444544"/>
        <c:axId val="176446464"/>
      </c:scatterChart>
      <c:valAx>
        <c:axId val="176444544"/>
        <c:scaling>
          <c:orientation val="minMax"/>
          <c:max val="5"/>
        </c:scaling>
        <c:delete val="0"/>
        <c:axPos val="b"/>
        <c:majorGridlines/>
        <c:title>
          <c:tx>
            <c:rich>
              <a:bodyPr/>
              <a:lstStyle/>
              <a:p>
                <a:pPr>
                  <a:defRPr/>
                </a:pPr>
                <a:r>
                  <a:rPr lang="en-US"/>
                  <a:t>d</a:t>
                </a:r>
                <a:r>
                  <a:rPr lang="en-US" baseline="-25000"/>
                  <a:t>p</a:t>
                </a:r>
                <a:r>
                  <a:rPr lang="en-US"/>
                  <a:t> (</a:t>
                </a:r>
                <a:r>
                  <a:rPr lang="en-US">
                    <a:latin typeface="Symbol" pitchFamily="18" charset="2"/>
                  </a:rPr>
                  <a:t>m</a:t>
                </a:r>
                <a:r>
                  <a:rPr lang="en-US"/>
                  <a:t>)</a:t>
                </a:r>
              </a:p>
            </c:rich>
          </c:tx>
          <c:overlay val="0"/>
        </c:title>
        <c:numFmt formatCode="0" sourceLinked="0"/>
        <c:majorTickMark val="none"/>
        <c:minorTickMark val="none"/>
        <c:tickLblPos val="nextTo"/>
        <c:txPr>
          <a:bodyPr/>
          <a:lstStyle/>
          <a:p>
            <a:pPr>
              <a:defRPr sz="800" b="1"/>
            </a:pPr>
            <a:endParaRPr lang="en-US"/>
          </a:p>
        </c:txPr>
        <c:crossAx val="176446464"/>
        <c:crosses val="autoZero"/>
        <c:crossBetween val="midCat"/>
        <c:majorUnit val="1"/>
      </c:valAx>
      <c:valAx>
        <c:axId val="176446464"/>
        <c:scaling>
          <c:orientation val="minMax"/>
          <c:max val="3000"/>
          <c:min val="0"/>
        </c:scaling>
        <c:delete val="0"/>
        <c:axPos val="l"/>
        <c:majorGridlines/>
        <c:title>
          <c:tx>
            <c:rich>
              <a:bodyPr rot="0" vert="horz"/>
              <a:lstStyle/>
              <a:p>
                <a:pPr>
                  <a:defRPr/>
                </a:pPr>
                <a:r>
                  <a:rPr lang="en-US">
                    <a:latin typeface="Symbol" pitchFamily="18" charset="2"/>
                    <a:cs typeface="Times New Roman" pitchFamily="18" charset="0"/>
                  </a:rPr>
                  <a:t>D</a:t>
                </a:r>
                <a:r>
                  <a:rPr lang="en-US">
                    <a:latin typeface="Times New Roman" pitchFamily="18" charset="0"/>
                    <a:cs typeface="Times New Roman" pitchFamily="18" charset="0"/>
                  </a:rPr>
                  <a:t>P</a:t>
                </a:r>
                <a:endParaRPr lang="en-US" baseline="-25000">
                  <a:latin typeface="Times New Roman" pitchFamily="18" charset="0"/>
                  <a:cs typeface="Times New Roman" pitchFamily="18" charset="0"/>
                </a:endParaRPr>
              </a:p>
              <a:p>
                <a:pPr>
                  <a:defRPr/>
                </a:pPr>
                <a:r>
                  <a:rPr lang="en-US"/>
                  <a:t>(bar)</a:t>
                </a:r>
              </a:p>
            </c:rich>
          </c:tx>
          <c:overlay val="0"/>
        </c:title>
        <c:numFmt formatCode="#,##0" sourceLinked="1"/>
        <c:majorTickMark val="none"/>
        <c:minorTickMark val="none"/>
        <c:tickLblPos val="nextTo"/>
        <c:txPr>
          <a:bodyPr/>
          <a:lstStyle/>
          <a:p>
            <a:pPr>
              <a:defRPr sz="800" b="1"/>
            </a:pPr>
            <a:endParaRPr lang="en-US"/>
          </a:p>
        </c:txPr>
        <c:crossAx val="176444544"/>
        <c:crosses val="autoZero"/>
        <c:crossBetween val="midCat"/>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1</a:t>
            </a:r>
          </a:p>
        </c:rich>
      </c:tx>
      <c:overlay val="0"/>
    </c:title>
    <c:autoTitleDeleted val="0"/>
    <c:plotArea>
      <c:layout/>
      <c:scatterChart>
        <c:scatterStyle val="smoothMarker"/>
        <c:varyColors val="0"/>
        <c:ser>
          <c:idx val="0"/>
          <c:order val="0"/>
          <c:tx>
            <c:v>k = 10</c:v>
          </c:tx>
          <c:xVal>
            <c:numRef>
              <c:f>Anspack!$DQ$6:$DQ$18</c:f>
              <c:numCache>
                <c:formatCode>0.00</c:formatCode>
                <c:ptCount val="13"/>
                <c:pt idx="0">
                  <c:v>0.01</c:v>
                </c:pt>
                <c:pt idx="1">
                  <c:v>0.05</c:v>
                </c:pt>
                <c:pt idx="2">
                  <c:v>0.1</c:v>
                </c:pt>
                <c:pt idx="3">
                  <c:v>0.5</c:v>
                </c:pt>
                <c:pt idx="4">
                  <c:v>1</c:v>
                </c:pt>
                <c:pt idx="5">
                  <c:v>1.4999999999999998</c:v>
                </c:pt>
                <c:pt idx="6">
                  <c:v>2</c:v>
                </c:pt>
                <c:pt idx="7">
                  <c:v>2.5</c:v>
                </c:pt>
                <c:pt idx="8">
                  <c:v>2.9999999999999996</c:v>
                </c:pt>
                <c:pt idx="9">
                  <c:v>3.5</c:v>
                </c:pt>
                <c:pt idx="10">
                  <c:v>4</c:v>
                </c:pt>
                <c:pt idx="11">
                  <c:v>4.5</c:v>
                </c:pt>
                <c:pt idx="12">
                  <c:v>5</c:v>
                </c:pt>
              </c:numCache>
            </c:numRef>
          </c:xVal>
          <c:yVal>
            <c:numRef>
              <c:f>Anspack!$DV$6:$DV$18</c:f>
              <c:numCache>
                <c:formatCode>#,##0</c:formatCode>
                <c:ptCount val="13"/>
                <c:pt idx="0">
                  <c:v>0.16666666666666663</c:v>
                </c:pt>
                <c:pt idx="1">
                  <c:v>0.83333333333333337</c:v>
                </c:pt>
                <c:pt idx="2">
                  <c:v>1.6666666666666667</c:v>
                </c:pt>
                <c:pt idx="3">
                  <c:v>8.3333333333333321</c:v>
                </c:pt>
                <c:pt idx="4">
                  <c:v>16.666666666666661</c:v>
                </c:pt>
                <c:pt idx="5">
                  <c:v>24.999999999999993</c:v>
                </c:pt>
                <c:pt idx="6">
                  <c:v>33.333333333333321</c:v>
                </c:pt>
                <c:pt idx="7">
                  <c:v>41.666666666666664</c:v>
                </c:pt>
                <c:pt idx="8">
                  <c:v>50.000000000000007</c:v>
                </c:pt>
                <c:pt idx="9">
                  <c:v>58.333333333333357</c:v>
                </c:pt>
                <c:pt idx="10">
                  <c:v>66.666666666666657</c:v>
                </c:pt>
                <c:pt idx="11">
                  <c:v>74.999999999999986</c:v>
                </c:pt>
                <c:pt idx="12">
                  <c:v>83.333333333333272</c:v>
                </c:pt>
              </c:numCache>
            </c:numRef>
          </c:yVal>
          <c:smooth val="1"/>
        </c:ser>
        <c:ser>
          <c:idx val="1"/>
          <c:order val="1"/>
          <c:tx>
            <c:v>k = 20</c:v>
          </c:tx>
          <c:xVal>
            <c:numRef>
              <c:f>Anspack!$DQ$6:$DQ$18</c:f>
              <c:numCache>
                <c:formatCode>0.00</c:formatCode>
                <c:ptCount val="13"/>
                <c:pt idx="0">
                  <c:v>0.01</c:v>
                </c:pt>
                <c:pt idx="1">
                  <c:v>0.05</c:v>
                </c:pt>
                <c:pt idx="2">
                  <c:v>0.1</c:v>
                </c:pt>
                <c:pt idx="3">
                  <c:v>0.5</c:v>
                </c:pt>
                <c:pt idx="4">
                  <c:v>1</c:v>
                </c:pt>
                <c:pt idx="5">
                  <c:v>1.4999999999999998</c:v>
                </c:pt>
                <c:pt idx="6">
                  <c:v>2</c:v>
                </c:pt>
                <c:pt idx="7">
                  <c:v>2.5</c:v>
                </c:pt>
                <c:pt idx="8">
                  <c:v>2.9999999999999996</c:v>
                </c:pt>
                <c:pt idx="9">
                  <c:v>3.5</c:v>
                </c:pt>
                <c:pt idx="10">
                  <c:v>4</c:v>
                </c:pt>
                <c:pt idx="11">
                  <c:v>4.5</c:v>
                </c:pt>
                <c:pt idx="12">
                  <c:v>5</c:v>
                </c:pt>
              </c:numCache>
            </c:numRef>
          </c:xVal>
          <c:yVal>
            <c:numRef>
              <c:f>Anspack!$DX$6:$DX$18</c:f>
              <c:numCache>
                <c:formatCode>#,##0</c:formatCode>
                <c:ptCount val="13"/>
                <c:pt idx="0">
                  <c:v>0.31818181818181807</c:v>
                </c:pt>
                <c:pt idx="1">
                  <c:v>1.5909090909090908</c:v>
                </c:pt>
                <c:pt idx="2">
                  <c:v>3.1818181818181817</c:v>
                </c:pt>
                <c:pt idx="3">
                  <c:v>15.909090909090908</c:v>
                </c:pt>
                <c:pt idx="4">
                  <c:v>31.818181818181809</c:v>
                </c:pt>
                <c:pt idx="5">
                  <c:v>47.727272727272712</c:v>
                </c:pt>
                <c:pt idx="6">
                  <c:v>63.636363636363619</c:v>
                </c:pt>
                <c:pt idx="7">
                  <c:v>79.545454545454533</c:v>
                </c:pt>
                <c:pt idx="8">
                  <c:v>95.454545454545467</c:v>
                </c:pt>
                <c:pt idx="9">
                  <c:v>111.36363636363642</c:v>
                </c:pt>
                <c:pt idx="10">
                  <c:v>127.27272727272727</c:v>
                </c:pt>
                <c:pt idx="11">
                  <c:v>143.18181818181813</c:v>
                </c:pt>
                <c:pt idx="12">
                  <c:v>159.09090909090898</c:v>
                </c:pt>
              </c:numCache>
            </c:numRef>
          </c:yVal>
          <c:smooth val="1"/>
        </c:ser>
        <c:dLbls>
          <c:showLegendKey val="0"/>
          <c:showVal val="0"/>
          <c:showCatName val="0"/>
          <c:showSerName val="0"/>
          <c:showPercent val="0"/>
          <c:showBubbleSize val="0"/>
        </c:dLbls>
        <c:axId val="240652288"/>
        <c:axId val="240654208"/>
      </c:scatterChart>
      <c:valAx>
        <c:axId val="240652288"/>
        <c:scaling>
          <c:orientation val="minMax"/>
          <c:max val="5"/>
        </c:scaling>
        <c:delete val="0"/>
        <c:axPos val="b"/>
        <c:majorGridlines/>
        <c:title>
          <c:tx>
            <c:rich>
              <a:bodyPr/>
              <a:lstStyle/>
              <a:p>
                <a:pPr>
                  <a:defRPr/>
                </a:pPr>
                <a:r>
                  <a:rPr lang="en-US"/>
                  <a:t>d</a:t>
                </a:r>
                <a:r>
                  <a:rPr lang="en-US" baseline="-25000"/>
                  <a:t>p</a:t>
                </a:r>
                <a:r>
                  <a:rPr lang="en-US"/>
                  <a:t> (</a:t>
                </a:r>
                <a:r>
                  <a:rPr lang="en-US">
                    <a:latin typeface="Symbol" pitchFamily="18" charset="2"/>
                  </a:rPr>
                  <a:t>m</a:t>
                </a:r>
                <a:r>
                  <a:rPr lang="en-US"/>
                  <a:t>)</a:t>
                </a:r>
              </a:p>
            </c:rich>
          </c:tx>
          <c:overlay val="0"/>
        </c:title>
        <c:numFmt formatCode="0" sourceLinked="0"/>
        <c:majorTickMark val="none"/>
        <c:minorTickMark val="none"/>
        <c:tickLblPos val="nextTo"/>
        <c:txPr>
          <a:bodyPr/>
          <a:lstStyle/>
          <a:p>
            <a:pPr>
              <a:defRPr sz="800" b="1"/>
            </a:pPr>
            <a:endParaRPr lang="en-US"/>
          </a:p>
        </c:txPr>
        <c:crossAx val="240654208"/>
        <c:crosses val="autoZero"/>
        <c:crossBetween val="midCat"/>
        <c:majorUnit val="1"/>
      </c:valAx>
      <c:valAx>
        <c:axId val="240654208"/>
        <c:scaling>
          <c:orientation val="minMax"/>
          <c:max val="160"/>
        </c:scaling>
        <c:delete val="0"/>
        <c:axPos val="l"/>
        <c:majorGridlines/>
        <c:title>
          <c:tx>
            <c:rich>
              <a:bodyPr rot="0" vert="horz"/>
              <a:lstStyle/>
              <a:p>
                <a:pPr>
                  <a:defRPr/>
                </a:pPr>
                <a:r>
                  <a:rPr lang="en-US">
                    <a:latin typeface="Times New Roman" pitchFamily="18" charset="0"/>
                    <a:cs typeface="Times New Roman" pitchFamily="18" charset="0"/>
                  </a:rPr>
                  <a:t>t</a:t>
                </a:r>
                <a:r>
                  <a:rPr lang="en-US" baseline="-25000">
                    <a:latin typeface="Times New Roman" pitchFamily="18" charset="0"/>
                    <a:cs typeface="Times New Roman" pitchFamily="18" charset="0"/>
                  </a:rPr>
                  <a:t>a</a:t>
                </a:r>
              </a:p>
              <a:p>
                <a:pPr>
                  <a:defRPr/>
                </a:pPr>
                <a:r>
                  <a:rPr lang="en-US"/>
                  <a:t>(min)</a:t>
                </a:r>
              </a:p>
            </c:rich>
          </c:tx>
          <c:overlay val="0"/>
        </c:title>
        <c:numFmt formatCode="#,##0" sourceLinked="1"/>
        <c:majorTickMark val="none"/>
        <c:minorTickMark val="none"/>
        <c:tickLblPos val="nextTo"/>
        <c:txPr>
          <a:bodyPr/>
          <a:lstStyle/>
          <a:p>
            <a:pPr>
              <a:defRPr sz="800" b="1"/>
            </a:pPr>
            <a:endParaRPr lang="en-US"/>
          </a:p>
        </c:txPr>
        <c:crossAx val="240652288"/>
        <c:crosses val="autoZero"/>
        <c:crossBetween val="midCat"/>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81C1F-5368-4754-961F-D10449CD7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5</Pages>
  <Words>1200</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2017-05-24T03:42:00Z</dcterms:created>
  <dcterms:modified xsi:type="dcterms:W3CDTF">2017-05-24T03:42:00Z</dcterms:modified>
</cp:coreProperties>
</file>